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2E9C3">
      <w:pPr>
        <w:pStyle w:val="133"/>
        <w:framePr w:wrap="around"/>
      </w:pPr>
      <w:r>
        <w:rPr>
          <w:rFonts w:hAnsi="黑体"/>
        </w:rPr>
        <w:t> </w:t>
      </w:r>
    </w:p>
    <w:p w14:paraId="77951399">
      <w:pPr>
        <w:pStyle w:val="133"/>
        <w:framePr w:wrap="around"/>
      </w:pPr>
      <w:r>
        <w:rPr>
          <w:rFonts w:hint="eastAsia"/>
        </w:rPr>
        <w:t>ICS</w:t>
      </w:r>
      <w:r>
        <w:rPr>
          <w:rFonts w:hint="eastAsia"/>
          <w:lang w:val="en-US" w:eastAsia="zh-CN"/>
        </w:rPr>
        <w:t xml:space="preserve"> </w:t>
      </w:r>
      <w:r>
        <w:rPr>
          <w:rFonts w:hint="eastAsia" w:ascii="黑体" w:hAnsi="黑体" w:eastAsia="黑体" w:cs="黑体"/>
          <w:color w:val="000000" w:themeColor="text1"/>
          <w:highlight w:val="none"/>
          <w14:textFill>
            <w14:solidFill>
              <w14:schemeClr w14:val="tx1"/>
            </w14:solidFill>
          </w14:textFill>
        </w:rPr>
        <w:t>53.020.99</w:t>
      </w:r>
    </w:p>
    <w:p w14:paraId="005B8AE6">
      <w:pPr>
        <w:pStyle w:val="133"/>
        <w:framePr w:wrap="around"/>
        <w:rPr>
          <w:rFonts w:hint="eastAsia" w:eastAsia="黑体"/>
          <w:lang w:val="en-US" w:eastAsia="zh-CN"/>
        </w:rPr>
      </w:pPr>
      <w:r>
        <w:rPr>
          <w:rFonts w:hint="eastAsia"/>
        </w:rPr>
        <w:t>CCS</w:t>
      </w:r>
      <w:r>
        <w:rPr>
          <w:rFonts w:hint="eastAsia"/>
          <w:lang w:val="en-US" w:eastAsia="zh-CN"/>
        </w:rPr>
        <w:t xml:space="preserve"> </w:t>
      </w:r>
      <w:r>
        <w:rPr>
          <w:rFonts w:hint="eastAsia" w:ascii="黑体" w:hAnsi="黑体" w:eastAsia="黑体" w:cs="黑体"/>
          <w:color w:val="000000" w:themeColor="text1"/>
          <w:highlight w:val="none"/>
          <w14:textFill>
            <w14:solidFill>
              <w14:schemeClr w14:val="tx1"/>
            </w14:solidFill>
          </w14:textFill>
        </w:rPr>
        <w:t>J 80</w:t>
      </w: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514E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60B5593F">
            <w:pPr>
              <w:pStyle w:val="133"/>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19"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otC7+w4CAAAhBAAADgAAAGRycy9lMm9Eb2MueG1srVNNj9Mw&#10;EL0j8R8s32maqtuPqOmqtCogLbDSwg9wHaexcDxm7DYtv56x0y1lueyBHCKPZ/w8783z4v7UGnZU&#10;6DXYkueDIWfKSqi03Zf8+7ftuxlnPghbCQNWlfysPL9fvn2z6FyhRtCAqRQyArG+6FzJmxBckWVe&#10;NqoVfgBOWUrWgK0IFOI+q1B0hN6abDQcTrIOsHIIUnlPu5s+yS+I+BpAqGst1QbkoVU29KiojAhE&#10;yTfaeb5M3da1kuFrXXsVmCk5MQ3pT5fQehf/2XIhij0K12h5aUG8poUXnFqhLV16hdqIINgB9T9Q&#10;rZYIHuowkNBmPZGkCLHIhy+0eWqEU4kLSe3dVXT//2Dll+MjMl2RE+acWdHSxN+vPkZdOucLSj+5&#10;R4zMvHsA+cMzC+tG2L1aIULXKFFRN3msz/46EANPR9mu+wwVoYpDgCTRqcY2AhJ5dkqTOF8noU6B&#10;SdqcTSbT6R1nklL5fJaP0qQyUTwfdujDBwUti4uSIw06gYvjgw+xGVE8l6Tmwehqq41JAe53a4Ps&#10;KMgU2/Sl/onjbZmxsdhCPNYjxp3EMhLrBdpBdSaSCL2z6F3RogH8xVlHriq5/3kQqDgznywJNc/H&#10;42jDFIzvpsSL4W1md5sRVhJUyQNn/XIdeuseHOp9QzflibSFFYlb60Q8Ct93dWmWnJP0uLg8WvM2&#10;TlV/Xvb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iuL+zVAAAABwEAAA8AAAAAAAAAAQAgAAAA&#10;IgAAAGRycy9kb3ducmV2LnhtbFBLAQIUABQAAAAIAIdO4kCi0Lv7DgIAACEEAAAOAAAAAAAAAAEA&#10;IAAAACQBAABkcnMvZTJvRG9jLnhtbFBLBQYAAAAABgAGAFkBAACkBQAAAAA=&#10;">
                      <v:fill on="t" focussize="0,0"/>
                      <v:stroke on="f"/>
                      <v:imagedata o:title=""/>
                      <o:lock v:ext="edit" aspectratio="f"/>
                    </v:rect>
                  </w:pict>
                </mc:Fallback>
              </mc:AlternateContent>
            </w:r>
          </w:p>
        </w:tc>
      </w:tr>
    </w:tbl>
    <w:p w14:paraId="3B3BFF20">
      <w:pPr>
        <w:pStyle w:val="120"/>
        <w:framePr w:w="7338" w:wrap="around" w:x="2384"/>
        <w:rPr>
          <w:sz w:val="84"/>
          <w:szCs w:val="84"/>
        </w:rPr>
      </w:pPr>
      <w:r>
        <w:rPr>
          <w:rFonts w:hint="eastAsia"/>
          <w:sz w:val="84"/>
          <w:szCs w:val="84"/>
        </w:rPr>
        <w:t>团体标准</w:t>
      </w:r>
    </w:p>
    <w:p w14:paraId="095FB4BB">
      <w:pPr>
        <w:pStyle w:val="57"/>
        <w:framePr w:wrap="around" w:x="1682" w:y="3046"/>
        <w:rPr>
          <w:rFonts w:hAnsi="黑体"/>
        </w:rPr>
      </w:pPr>
      <w:r>
        <w:rPr>
          <w:rFonts w:hint="eastAsia" w:hAnsi="黑体"/>
        </w:rPr>
        <w:t>T</w:t>
      </w:r>
      <w:r>
        <w:rPr>
          <w:rFonts w:hAnsi="黑体"/>
        </w:rPr>
        <w:t>/</w:t>
      </w:r>
      <w:r>
        <w:rPr>
          <w:rFonts w:hint="eastAsia" w:hAnsi="黑体"/>
        </w:rPr>
        <w:t>CCMA</w:t>
      </w:r>
      <w:r>
        <w:rPr>
          <w:rFonts w:hAnsi="黑体"/>
        </w:rPr>
        <w:t xml:space="preserve"> </w:t>
      </w:r>
      <w:bookmarkStart w:id="0" w:name="StdNo1"/>
      <w:r>
        <w:rPr>
          <w:rFonts w:hint="eastAsia" w:hAnsi="黑体"/>
        </w:rPr>
        <w:t>****</w:t>
      </w:r>
      <w:bookmarkEnd w:id="0"/>
      <w:bookmarkStart w:id="1" w:name="StdNo2"/>
      <w:r>
        <w:rPr>
          <w:rFonts w:hint="eastAsia" w:hAnsi="黑体"/>
        </w:rPr>
        <w:t>-20</w:t>
      </w:r>
      <w:bookmarkEnd w:id="1"/>
      <w:r>
        <w:rPr>
          <w:rFonts w:hAnsi="黑体"/>
        </w:rPr>
        <w:t>**</w:t>
      </w: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EB14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18FAE3B0">
            <w:pPr>
              <w:pStyle w:val="86"/>
              <w:framePr w:wrap="around" w:x="1682" w:y="3046"/>
              <w:spacing w:before="120"/>
              <w:rPr>
                <w:rFonts w:ascii="黑体" w:hAnsi="黑体" w:eastAsia="黑体"/>
                <w:sz w:val="28"/>
                <w:szCs w:val="28"/>
              </w:rPr>
            </w:pPr>
            <w:bookmarkStart w:id="2" w:name="DT"/>
            <w:r>
              <w:rPr>
                <w:rFonts w:hint="eastAsia" w:ascii="黑体" w:hAnsi="黑体" w:eastAsia="黑体"/>
                <w:sz w:val="28"/>
                <w:szCs w:val="28"/>
              </w:rPr>
              <w:t>代替的团体标准编号</w:t>
            </w:r>
            <w:r>
              <w:rPr>
                <w:rFonts w:ascii="黑体" w:hAnsi="黑体" w:eastAsia="黑体"/>
                <w:sz w:val="28"/>
                <w:szCs w:val="28"/>
              </w:rPr>
              <mc:AlternateContent>
                <mc:Choice Requires="wps">
                  <w:drawing>
                    <wp:anchor distT="0" distB="0" distL="114300" distR="114300" simplePos="0" relativeHeight="251663360" behindDoc="1" locked="0" layoutInCell="1" allowOverlap="1">
                      <wp:simplePos x="0" y="0"/>
                      <wp:positionH relativeFrom="column">
                        <wp:posOffset>4734560</wp:posOffset>
                      </wp:positionH>
                      <wp:positionV relativeFrom="paragraph">
                        <wp:posOffset>34290</wp:posOffset>
                      </wp:positionV>
                      <wp:extent cx="1143000" cy="228600"/>
                      <wp:effectExtent l="635" t="0" r="0" b="3810"/>
                      <wp:wrapNone/>
                      <wp:docPr id="18"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72.8pt;margin-top:2.7pt;height:18pt;width:90pt;z-index:-251653120;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M0ShAIJAgAAIQQAAA4AAABkcnMvZTJvRG9jLnhtbK1TwW7b&#10;MAy9D9g/CLovtrOs64w4RZEgw4BuLdDuAxRZtoXJokYpcbKvHyW7WdZdepgPBimST3yP1PLm2Bt2&#10;UOg12IoXs5wzZSXU2rYV//60fXfNmQ/C1sKAVRU/Kc9vVm/fLAdXqjl0YGqFjECsLwdX8S4EV2aZ&#10;l53qhZ+BU5aCDWAvArnYZjWKgdB7k83z/CobAGuHIJX3dLoZg3xCxNcAQtNoqTYg972yYURFZUQg&#10;Sr7TzvNV6rZplAz3TeNVYKbixDSkP11C9i7+s9VSlC0K12k5tSBe08ILTr3Qli49Q21EEGyP+h+o&#10;XksED02YSeizkUhShFgU+QttHjvhVOJCUnt3Ft3/P1j57fCATNe0CTR3K3qa+OYpyjI4X1L00T1g&#10;JObdHcgfnllYd8K26hYRhk6JmpopYn72V0F0PJWy3fAVagIV+wBJoWODfQQk7uyYBnE6D0IdA5N0&#10;WBSL93lOM5IUm8+vr8iOV4jyudqhD58V9CwaFUcadEIXhzsfxtTnlNQ9GF1vtTHJwXa3NsgOgpZi&#10;m74J3V+mGRuTLcSyETGeJJqR2ajQDuoTsUQYN4veFRkd4C/OBtqqivufe4GKM/PFklKfisUirmFy&#10;Fh8+zsnBy8juMiKsJKiKB85Gcx3G1d071G1HNxWJtIVbUrfRiXhUfuxqapY2J0k3bXlczUs/Zf15&#10;2a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M0ShAIJAgAAIQQAAA4AAAAAAAAAAQAgAAAA&#10;JQEAAGRycy9lMm9Eb2MueG1sUEsFBgAAAAAGAAYAWQEAAKAFAAAAAA==&#10;">
                      <v:fill on="t" focussize="0,0"/>
                      <v:stroke on="f"/>
                      <v:imagedata o:title=""/>
                      <o:lock v:ext="edit" aspectratio="f"/>
                    </v:rect>
                  </w:pict>
                </mc:Fallback>
              </mc:AlternateContent>
            </w:r>
            <w:bookmarkEnd w:id="2"/>
          </w:p>
        </w:tc>
      </w:tr>
    </w:tbl>
    <w:p w14:paraId="6D9E31D9">
      <w:pPr>
        <w:pStyle w:val="57"/>
        <w:framePr w:wrap="around" w:x="1682" w:y="3046"/>
        <w:rPr>
          <w:rFonts w:hAnsi="黑体"/>
        </w:rPr>
      </w:pPr>
    </w:p>
    <w:p w14:paraId="387C1EED">
      <w:pPr>
        <w:pStyle w:val="57"/>
        <w:framePr w:wrap="around" w:x="1682" w:y="3046"/>
        <w:rPr>
          <w:rFonts w:hAnsi="黑体"/>
        </w:rPr>
      </w:pPr>
    </w:p>
    <w:p w14:paraId="6A7C76C0">
      <w:pPr>
        <w:pStyle w:val="88"/>
        <w:framePr w:wrap="around"/>
      </w:pPr>
      <w:r>
        <w:rPr>
          <w:rFonts w:hint="eastAsia"/>
        </w:rPr>
        <w:t>高处作业吊篮主要零部件报废条件</w:t>
      </w:r>
    </w:p>
    <w:p w14:paraId="392FC139">
      <w:pPr>
        <w:pStyle w:val="89"/>
        <w:framePr w:wrap="around"/>
        <w:rPr>
          <w:rFonts w:hint="eastAsia" w:ascii="黑体" w:hAnsi="黑体" w:eastAsia="黑体" w:cs="黑体"/>
        </w:rPr>
      </w:pPr>
      <w:r>
        <w:rPr>
          <w:rFonts w:hint="eastAsia" w:ascii="黑体" w:hAnsi="黑体" w:eastAsia="黑体" w:cs="黑体"/>
        </w:rPr>
        <w:t xml:space="preserve"> Scrapping conditions for main components of </w:t>
      </w:r>
    </w:p>
    <w:p w14:paraId="7393A5AA">
      <w:pPr>
        <w:pStyle w:val="89"/>
        <w:framePr w:wrap="around"/>
        <w:spacing w:before="0"/>
        <w:rPr>
          <w:rFonts w:hint="eastAsia" w:ascii="黑体" w:hAnsi="黑体" w:eastAsia="黑体" w:cs="黑体"/>
        </w:rPr>
      </w:pPr>
      <w:r>
        <w:rPr>
          <w:rFonts w:hint="eastAsia" w:ascii="黑体" w:hAnsi="黑体" w:eastAsia="黑体" w:cs="黑体"/>
        </w:rPr>
        <w:t xml:space="preserve"> temporarily installed suspended access equipment </w:t>
      </w:r>
    </w:p>
    <w:p w14:paraId="2B9437C0">
      <w:pPr>
        <w:pStyle w:val="89"/>
        <w:framePr w:wrap="around"/>
        <w:rPr>
          <w:rFonts w:ascii="黑体" w:hAnsi="黑体"/>
          <w:sz w:val="24"/>
          <w:szCs w:val="24"/>
        </w:rPr>
      </w:pPr>
    </w:p>
    <w:p w14:paraId="046D9823">
      <w:pPr>
        <w:pStyle w:val="89"/>
        <w:framePr w:wrap="around"/>
        <w:rPr>
          <w:rFonts w:ascii="黑体" w:hAnsi="黑体"/>
          <w:sz w:val="24"/>
          <w:szCs w:val="24"/>
        </w:rPr>
      </w:pPr>
      <w:r>
        <w:rPr>
          <w:rFonts w:hint="eastAsia" w:ascii="黑体" w:hAnsi="黑体"/>
          <w:sz w:val="24"/>
          <w:szCs w:val="24"/>
        </w:rPr>
        <w:t>（</w:t>
      </w:r>
      <w:r>
        <w:rPr>
          <w:rFonts w:hint="eastAsia" w:ascii="宋体" w:hAnsi="宋体" w:eastAsia="宋体"/>
          <w:sz w:val="24"/>
          <w:szCs w:val="24"/>
        </w:rPr>
        <w:t>征求意见稿</w:t>
      </w:r>
      <w:r>
        <w:rPr>
          <w:rFonts w:hint="eastAsia" w:ascii="黑体" w:hAnsi="黑体"/>
          <w:sz w:val="24"/>
          <w:szCs w:val="24"/>
        </w:rPr>
        <w:t>）</w:t>
      </w:r>
    </w:p>
    <w:p w14:paraId="042C2285">
      <w:pPr>
        <w:pStyle w:val="90"/>
        <w:framePr w:wrap="around"/>
      </w:pPr>
    </w:p>
    <w:tbl>
      <w:tblPr>
        <w:tblStyle w:val="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04660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5396BC45">
            <w:pPr>
              <w:pStyle w:val="91"/>
              <w:framePr w:wrap="around"/>
              <w:rPr>
                <w:b/>
              </w:rPr>
            </w:pPr>
            <w:r>
              <w:rPr>
                <w:b/>
                <w:sz w:val="21"/>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635" t="1905" r="0" b="1270"/>
                      <wp:wrapNone/>
                      <wp:docPr id="17" name="RQ"/>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P2lwQkCAAAhBAAADgAAAGRycy9lMm9Eb2MueG1srVPBbtsw&#10;DL0P2D8Iui+2g2RdjThFkSDDgG7r1vUDFFm2hcmiRilxsq8fJadZ1l56mA8GKZJPfI/U4ubQG7ZX&#10;6DXYiheTnDNlJdTathV//LF594EzH4SthQGrKn5Unt8s375ZDK5UU+jA1AoZgVhfDq7iXQiuzDIv&#10;O9ULPwGnLAUbwF4EcrHNahQDofcmm+b5+2wArB2CVN7T6XoM8hMivgYQmkZLtQa565UNIyoqIwJR&#10;8p12ni9Tt02jZPjaNF4FZipOTEP60yVkb+M/Wy5E2aJwnZanFsRrWnjGqRfa0qVnqLUIgu1Qv4Dq&#10;tUTw0ISJhD4biSRFiEWRP9PmoRNOJS4ktXdn0f3/g5Vf9vfIdE2bcMWZFT1N/Pu3KMvgfEnRB3eP&#10;kZh3dyB/emZh1QnbqltEGDolamqmiPnZPwXR8VTKtsNnqAlU7AIkhQ4N9hGQuLNDGsTxPAh1CEzS&#10;YXGdz/OcZiQpNp3Poh2vEOVTtUMfPiroWTQqjjTohC72dz6MqU8pqXswut5oY5KD7XZlkO0FLcUm&#10;fSd0f5lmbEy2EMtGxHiSaEZmo0JbqI/EEmHcLHpXZHSAvzkbaKsq7n/tBCrOzCdLSl0Xs1lcw+TM&#10;5ldTcvAysr2MCCsJquKBs9FchXF1dw5129FNRSJt4ZbUbXQiHpUfuzo1S5uTpDtteVzNSz9l/X3Z&#10;y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IP2lwQkCAAAhBAAADgAAAAAAAAABACAAAAAk&#10;AQAAZHJzL2Uyb0RvYy54bWxQSwUGAAAAAAYABgBZAQAAnwUAAAAA&#10;">
                      <v:fill on="t" focussize="0,0"/>
                      <v:stroke on="f"/>
                      <v:imagedata o:title=""/>
                      <o:lock v:ext="edit" aspectratio="f"/>
                      <w10:anchorlock/>
                    </v:rect>
                  </w:pict>
                </mc:Fallback>
              </mc:AlternateContent>
            </w:r>
            <w:r>
              <w:rPr>
                <w:b/>
                <w:sz w:val="21"/>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0" t="0" r="0" b="1270"/>
                      <wp:wrapNone/>
                      <wp:docPr id="16"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93.3pt;margin-top:20.15pt;height:24pt;width:100pt;z-index:-25165721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MPlzVkJAgAAIQQAAA4AAABkcnMvZTJvRG9jLnhtbK1TwW7b&#10;MAy9D9g/CLovtrOs7Yw4RZcgw4BsK9DuAxRZtoXJokYpcbKvHyWnWdZeepgPBilST3xPT/PbQ2/Y&#10;XqHXYCteTHLOlJVQa9tW/Mfj+t0NZz4IWwsDVlX8qDy/Xbx9Mx9cqabQgakVMgKxvhxcxbsQXJll&#10;XnaqF34CTlkqNoC9CJRim9UoBkLvTTbN86tsAKwdglTe0+pqLPITIr4GEJpGS7UCueuVDSMqKiMC&#10;UfKddp4v0rRNo2T43jReBWYqTkxD+tMhFG/jP1vMRdmicJ2WpxHEa0Z4xqkX2tKhZ6iVCILtUL+A&#10;6rVE8NCEiYQ+G4kkRYhFkT/T5qETTiUuJLV3Z9H9/4OV3/b3yHRNTrjizIqebnzzKcoyOF9S9cHd&#10;YyTm3QbkT88sLDthW3WHCEOnRE3DFLE/+2dDTDxtZdvhK9QEKnYBkkKHBvsISNzZIV3E8XwR6hCY&#10;pMViep3Tx5mk2vt8dkNxPEKUT7sd+vBZQc9iUHGki07oYr/xYWx9aknTg9H1WhuTEmy3S4NsL8gU&#10;6/Sd0P1lm7Gx2ULcNiLGlUQzMhsV2kJ9JJYIo7PoXVHQAf7mbCBXVdz/2glUnJkvlpT6WMxm0YYp&#10;mX24nlKCl5XtZUVYSVAVD5yN4TKM1t051G1HJxWJtIU7UrfRiXhUfpzqNCw5J0l3cnm05mWeuv6+&#10;7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MPlzVkJAgAAIQQAAA4AAAAAAAAAAQAgAAAA&#10;JQEAAGRycy9lMm9Eb2MueG1sUEsFBgAAAAAGAAYAWQEAAKAFAAAAAA==&#10;">
                      <v:fill on="t" focussize="0,0"/>
                      <v:stroke on="f"/>
                      <v:imagedata o:title=""/>
                      <o:lock v:ext="edit" aspectratio="f"/>
                    </v:rect>
                  </w:pict>
                </mc:Fallback>
              </mc:AlternateContent>
            </w:r>
            <w:r>
              <w:rPr>
                <w:rFonts w:hint="eastAsia"/>
                <w:b/>
                <w:sz w:val="21"/>
              </w:rPr>
              <w:t>在提交反馈意见时，请将您知道的相关专利连同支持性文件一并附上。</w:t>
            </w:r>
          </w:p>
        </w:tc>
      </w:tr>
      <w:tr w14:paraId="68DF3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20166F58">
            <w:pPr>
              <w:pStyle w:val="92"/>
              <w:framePr w:wrap="around"/>
            </w:pPr>
          </w:p>
        </w:tc>
      </w:tr>
    </w:tbl>
    <w:p w14:paraId="51D0F56E">
      <w:pPr>
        <w:pStyle w:val="140"/>
        <w:framePr w:wrap="around" w:hAnchor="page" w:x="1186"/>
      </w:pPr>
      <w:r>
        <w:rPr>
          <w:rFonts w:hint="eastAsia" w:ascii="黑体"/>
        </w:rPr>
        <w:t>20</w:t>
      </w:r>
      <w:r>
        <w:rPr>
          <w:rFonts w:ascii="黑体"/>
        </w:rPr>
        <w:t>**</w:t>
      </w:r>
      <w:r>
        <w:t xml:space="preserve"> </w:t>
      </w:r>
      <w:r>
        <w:rPr>
          <w:rFonts w:ascii="黑体"/>
        </w:rPr>
        <w:t>-</w:t>
      </w:r>
      <w:r>
        <w:rPr>
          <w:rFonts w:hint="eastAsia" w:ascii="黑体"/>
        </w:rPr>
        <w:t>**</w:t>
      </w:r>
      <w:r>
        <w:t xml:space="preserve"> </w:t>
      </w:r>
      <w:r>
        <w:rPr>
          <w:rFonts w:ascii="黑体"/>
        </w:rPr>
        <w:t>-</w:t>
      </w:r>
      <w:bookmarkStart w:id="3" w:name="FD"/>
      <w:r>
        <w:rPr>
          <w:rFonts w:hint="eastAsia" w:ascii="黑体" w:hAnsi="黑体"/>
        </w:rPr>
        <w:t>**</w:t>
      </w:r>
      <w:bookmarkEnd w:id="3"/>
      <w:r>
        <w:rPr>
          <w:rFonts w:hint="eastAsia"/>
        </w:rPr>
        <w:t>发布</w:t>
      </w:r>
      <w:r>
        <mc:AlternateContent>
          <mc:Choice Requires="wps">
            <w:drawing>
              <wp:anchor distT="0" distB="0" distL="114300" distR="114300" simplePos="0" relativeHeight="251661312" behindDoc="0" locked="1" layoutInCell="1" allowOverlap="1">
                <wp:simplePos x="0" y="0"/>
                <wp:positionH relativeFrom="column">
                  <wp:posOffset>-4445</wp:posOffset>
                </wp:positionH>
                <wp:positionV relativeFrom="page">
                  <wp:posOffset>9329420</wp:posOffset>
                </wp:positionV>
                <wp:extent cx="6120130" cy="0"/>
                <wp:effectExtent l="0" t="0" r="13970" b="19050"/>
                <wp:wrapNone/>
                <wp:docPr id="15" name="Line 8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83" o:spid="_x0000_s1026" o:spt="20" style="position:absolute;left:0pt;margin-left:-0.35pt;margin-top:734.6pt;height:0pt;width:481.9pt;mso-position-vertical-relative:page;z-index:251661312;mso-width-relative:page;mso-height-relative:page;" filled="f" stroked="t" coordsize="21600,21600" o:gfxdata="UEsDBAoAAAAAAIdO4kAAAAAAAAAAAAAAAAAEAAAAZHJzL1BLAwQUAAAACACHTuJAMNe8udYAAAAL&#10;AQAADwAAAGRycy9kb3ducmV2LnhtbE2PPU/DQAyGdyT+w8lILFV7SYoCDbl0ALKxUECsbs4kETlf&#10;mrt+wK/HDAhGv370+nG5PrlBHWgKvWcD6SIBRdx423Nr4OW5nt+AChHZ4uCZDHxSgHV1flZiYf2R&#10;n+iwia2SEg4FGuhiHAutQ9ORw7DwI7Hs3v3kMMo4tdpOeJRyN+gsSXLtsGe50OFIdx01H5u9MxDq&#10;V9rVX7NmlrwtW0/Z7v7xAY25vEiTW1CRTvEPhh99UYdKnLZ+zzaowcD8WkCJr/JVBkqAVb5MQW1/&#10;I12V+v8P1TdQSwMEFAAAAAgAh07iQFN/vm3KAQAAoQMAAA4AAABkcnMvZTJvRG9jLnhtbK1TwW7b&#10;MAy9D9g/CLovTlKk6Iw4PSToLtkWoN0HKJJsC5NEQVTi5O9HyUnadZce5oMgiuQj3yO9fDw5y446&#10;ogHf8Nlkypn2EpTxXcN/vTx9eeAMk/BKWPC64WeN/HH1+dNyCLWeQw9W6cgIxGM9hIb3KYW6qlD2&#10;2gmcQNCenC1EJxKZsatUFAOhO1vNp9P7aoCoQgSpEel1Mzr5BTF+BBDa1ki9AXlw2qcRNWorElHC&#10;3gTkq9Jt22qZfrYt6sRsw4lpKicVofs+n9VqKeouitAbeWlBfKSFd5ycMJ6K3qA2Igl2iOYfKGdk&#10;BIQ2TSS4aiRSFCEWs+k7bZ57EXThQlJjuImO/w9W/jjuIjOKNmHBmReOJr41XrOHu6zNELCmkLXf&#10;xcxOnvxz2IL8jczDuhe+06XHl3OgvFnOqP5KyQYGqrAfvoOiGHFIUIQ6tdFlSJKAnco8zrd56FNi&#10;kh7vZyTKHY1KXn2VqK+JIWL6psGxfGm4paYLsDhuMeVGRH0NyXU8PBlry7itZ0PDvy7mi5KAYI3K&#10;zhyGsduvbWRHkRemfIUVed6GRTh4NRax/kI68xwV24M67+JVDJpc6eayZXk13tol+/XPWv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MNe8udYAAAALAQAADwAAAAAAAAABACAAAAAiAAAAZHJzL2Rv&#10;d25yZXYueG1sUEsBAhQAFAAAAAgAh07iQFN/vm3KAQAAoQMAAA4AAAAAAAAAAQAgAAAAJQEAAGRy&#10;cy9lMm9Eb2MueG1sUEsFBgAAAAAGAAYAWQEAAGEFAAAAAA==&#10;">
                <v:fill on="f" focussize="0,0"/>
                <v:stroke color="#000000" joinstyle="round"/>
                <v:imagedata o:title=""/>
                <o:lock v:ext="edit" aspectratio="f"/>
                <w10:anchorlock/>
              </v:line>
            </w:pict>
          </mc:Fallback>
        </mc:AlternateContent>
      </w:r>
    </w:p>
    <w:p w14:paraId="2A1E6AE3">
      <w:pPr>
        <w:pStyle w:val="141"/>
        <w:framePr w:wrap="around" w:hAnchor="page" w:x="6676" w:y="14116"/>
      </w:pPr>
      <w:r>
        <w:rPr>
          <w:rFonts w:hint="eastAsia" w:ascii="黑体"/>
        </w:rPr>
        <w:t>20</w:t>
      </w:r>
      <w:r>
        <w:rPr>
          <w:rFonts w:ascii="黑体"/>
        </w:rPr>
        <w:t>**</w:t>
      </w:r>
      <w:r>
        <w:t xml:space="preserve"> </w:t>
      </w:r>
      <w:r>
        <w:rPr>
          <w:rFonts w:ascii="黑体"/>
        </w:rPr>
        <w:t>-</w:t>
      </w:r>
      <w:bookmarkStart w:id="4" w:name="SM"/>
      <w:r>
        <w:rPr>
          <w:rFonts w:hint="eastAsia" w:ascii="黑体" w:hAnsi="黑体"/>
        </w:rPr>
        <w:t>**</w:t>
      </w:r>
      <w:bookmarkEnd w:id="4"/>
      <w:r>
        <w:rPr>
          <w:rFonts w:ascii="黑体" w:hAnsi="黑体"/>
        </w:rPr>
        <w:t>-</w:t>
      </w:r>
      <w:bookmarkStart w:id="5" w:name="SD"/>
      <w:r>
        <w:rPr>
          <w:rFonts w:hint="eastAsia" w:ascii="黑体" w:hAnsi="黑体"/>
        </w:rPr>
        <w:t>**</w:t>
      </w:r>
      <w:bookmarkEnd w:id="5"/>
      <w:r>
        <w:rPr>
          <w:rFonts w:hint="eastAsia"/>
        </w:rPr>
        <w:t>实施</w:t>
      </w:r>
    </w:p>
    <w:p w14:paraId="011ABD9C">
      <w:pPr>
        <w:pStyle w:val="121"/>
        <w:framePr w:wrap="around"/>
      </w:pPr>
      <w:r>
        <w:rPr>
          <w:rFonts w:hint="eastAsia" w:hAnsi="黑体"/>
        </w:rPr>
        <w:t>中国工程机械工业协会</w:t>
      </w:r>
      <w:r>
        <w:rPr>
          <w:rFonts w:hAnsi="黑体"/>
        </w:rPr>
        <w:t>   </w:t>
      </w:r>
      <w:r>
        <w:rPr>
          <w:rStyle w:val="83"/>
          <w:rFonts w:hint="eastAsia"/>
        </w:rPr>
        <w:t>发布</w:t>
      </w:r>
    </w:p>
    <w:p w14:paraId="7A2BED8A">
      <w:pPr>
        <w:pStyle w:val="29"/>
        <w:ind w:firstLine="0" w:firstLineChars="0"/>
        <w:sectPr>
          <w:headerReference r:id="rId4" w:type="first"/>
          <w:footerReference r:id="rId7" w:type="first"/>
          <w:footerReference r:id="rId5" w:type="default"/>
          <w:headerReference r:id="rId3" w:type="even"/>
          <w:footerReference r:id="rId6" w:type="even"/>
          <w:pgSz w:w="11906" w:h="16838"/>
          <w:pgMar w:top="567" w:right="850" w:bottom="1134" w:left="1418" w:header="0" w:footer="0" w:gutter="0"/>
          <w:pgNumType w:fmt="upperRoman" w:start="1"/>
          <w:cols w:space="425" w:num="1"/>
          <w:docGrid w:type="lines" w:linePitch="312" w:charSpace="0"/>
        </w:sectPr>
      </w:pPr>
      <w: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8890" t="6350" r="5080" b="12700"/>
                <wp:wrapNone/>
                <wp:docPr id="14" name="Line 8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82" o:spid="_x0000_s1026" o:spt="20" style="position:absolute;left:0pt;margin-left:-0.05pt;margin-top:184.25pt;height:0pt;width:481.9pt;z-index:251662336;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VCyzKygEAAKEDAAAOAAAAZHJzL2Uyb0RvYy54bWytU01v&#10;2zAMvQ/YfxB0X5yka9EZcXpI0F2yLUC7H6BIsi1UEgVRiZ1/P0r5aNddepgPgiiSj3yP9OJhdJYd&#10;dEQDvuGzyZQz7SUo47uG/35+/HLPGSbhlbDgdcOPGvnD8vOnxRBqPYcerNKREYjHeggN71MKdVWh&#10;7LUTOIGgPTlbiE4kMmNXqSgGQne2mk+nd9UAUYUIUiPS6/rk5GfE+BFAaFsj9Rrk3mmfTqhRW5GI&#10;EvYmIF+WbttWy/SrbVEnZhtOTFM5qQjdd/mslgtRd1GE3shzC+IjLbzj5ITxVPQKtRZJsH00/0A5&#10;IyMgtGkiwVUnIkURYjGbvtPmqRdBFy4kNYar6Pj/YOXPwzYyo2gTvnLmhaOJb4zX7H6etRkC1hSy&#10;8tuY2cnRP4UNyBdkHla98J0uPT4fA+XNckb1V0o2MFCF3fADFMWIfYIi1NhGlyFJAjaWeRyv89Bj&#10;YpIe72Ykyg2NSl58lagviSFi+q7BsXxpuKWmC7A4bDDlRkR9Ccl1PDwaa8u4rWdDw7/dzm9LAoI1&#10;KjtzGMZut7KRHURemPIVVuR5GxZh79WpiPVn0pnnSbEdqOM2XsSgyZVuzluWV+OtXbJf/6zl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JB4l/XAAAACQEAAA8AAAAAAAAAAQAgAAAAIgAAAGRycy9k&#10;b3ducmV2LnhtbFBLAQIUABQAAAAIAIdO4kDVCyzKygEAAKEDAAAOAAAAAAAAAAEAIAAAACYBAABk&#10;cnMvZTJvRG9jLnhtbFBLBQYAAAAABgAGAFkBAABiBQAAAAA=&#10;">
                <v:fill on="f" focussize="0,0"/>
                <v:stroke color="#000000" joinstyle="round"/>
                <v:imagedata o:title=""/>
                <o:lock v:ext="edit" aspectratio="f"/>
              </v:line>
            </w:pict>
          </mc:Fallback>
        </mc:AlternateContent>
      </w:r>
    </w:p>
    <w:p w14:paraId="5B4585D6">
      <w:pPr>
        <w:pStyle w:val="60"/>
      </w:pPr>
      <w:bookmarkStart w:id="6" w:name="_Toc505868665"/>
      <w:r>
        <w:rPr>
          <w:rFonts w:hint="eastAsia"/>
        </w:rPr>
        <w:t>目</w:t>
      </w:r>
      <w:bookmarkStart w:id="7" w:name="BKML"/>
      <w:r>
        <w:rPr>
          <w:rFonts w:hAnsi="黑体"/>
        </w:rPr>
        <w:t>  </w:t>
      </w:r>
      <w:r>
        <w:rPr>
          <w:rFonts w:hint="eastAsia"/>
        </w:rPr>
        <w:t>次</w:t>
      </w:r>
      <w:bookmarkEnd w:id="7"/>
    </w:p>
    <w:p w14:paraId="1BF96B26">
      <w:pPr>
        <w:pStyle w:val="25"/>
        <w:spacing w:before="78" w:after="78"/>
      </w:pPr>
      <w:r>
        <w:fldChar w:fldCharType="begin"/>
      </w:r>
      <w:r>
        <w:instrText xml:space="preserve"> HYPERLINK \l "_Toc519092811" </w:instrText>
      </w:r>
      <w:r>
        <w:fldChar w:fldCharType="separate"/>
      </w:r>
      <w:r>
        <w:rPr>
          <w:rStyle w:val="47"/>
          <w:rFonts w:hint="eastAsia" w:hAnsi="宋体"/>
          <w:color w:val="auto"/>
          <w:u w:val="none"/>
        </w:rPr>
        <w:t>前言</w:t>
      </w:r>
      <w:r>
        <w:rPr>
          <w:rFonts w:hAnsi="宋体"/>
        </w:rPr>
        <w:tab/>
      </w:r>
      <w:r>
        <w:rPr>
          <w:rFonts w:hint="eastAsia" w:hAnsi="宋体"/>
        </w:rPr>
        <w:t>II</w:t>
      </w:r>
      <w:r>
        <w:rPr>
          <w:rFonts w:hint="eastAsia" w:hAnsi="宋体"/>
        </w:rPr>
        <w:fldChar w:fldCharType="end"/>
      </w:r>
    </w:p>
    <w:p w14:paraId="76E87820">
      <w:pPr>
        <w:pStyle w:val="25"/>
        <w:spacing w:before="78" w:after="78"/>
        <w:rPr>
          <w:rFonts w:hAnsi="宋体" w:cstheme="minorBidi"/>
        </w:rPr>
      </w:pPr>
      <w:r>
        <w:fldChar w:fldCharType="begin"/>
      </w:r>
      <w:r>
        <w:instrText xml:space="preserve"> HYPERLINK \l "_Toc519092811" </w:instrText>
      </w:r>
      <w:r>
        <w:fldChar w:fldCharType="separate"/>
      </w:r>
      <w:r>
        <w:rPr>
          <w:rStyle w:val="47"/>
          <w:rFonts w:hint="eastAsia" w:hAnsi="宋体"/>
          <w:color w:val="auto"/>
          <w:u w:val="none"/>
        </w:rPr>
        <w:t>引言</w:t>
      </w:r>
      <w:r>
        <w:rPr>
          <w:rFonts w:hAnsi="宋体"/>
        </w:rPr>
        <w:tab/>
      </w:r>
      <w:r>
        <w:rPr>
          <w:rFonts w:hint="eastAsia" w:hAnsi="宋体"/>
        </w:rPr>
        <w:t>III</w:t>
      </w:r>
      <w:r>
        <w:rPr>
          <w:rFonts w:hint="eastAsia" w:hAnsi="宋体"/>
        </w:rPr>
        <w:fldChar w:fldCharType="end"/>
      </w:r>
      <w:r>
        <w:rPr>
          <w:rFonts w:hAnsi="宋体" w:cstheme="minorBidi"/>
        </w:rPr>
        <w:t xml:space="preserve"> </w:t>
      </w:r>
    </w:p>
    <w:p w14:paraId="2BD9B502">
      <w:pPr>
        <w:pStyle w:val="34"/>
        <w:spacing w:before="78" w:beforeLines="25" w:after="78" w:afterLines="25"/>
        <w:rPr>
          <w:rFonts w:hAnsi="宋体" w:cstheme="minorBidi"/>
        </w:rPr>
      </w:pPr>
      <w:r>
        <w:fldChar w:fldCharType="begin"/>
      </w:r>
      <w:r>
        <w:instrText xml:space="preserve"> HYPERLINK \l "_Toc519092812" </w:instrText>
      </w:r>
      <w:r>
        <w:fldChar w:fldCharType="separate"/>
      </w:r>
      <w:r>
        <w:rPr>
          <w:rStyle w:val="47"/>
          <w:rFonts w:hAnsi="宋体"/>
          <w:color w:val="auto"/>
          <w:u w:val="none"/>
        </w:rPr>
        <w:t>1</w:t>
      </w:r>
      <w:r>
        <w:rPr>
          <w:rStyle w:val="47"/>
          <w:rFonts w:hint="eastAsia" w:hAnsi="宋体"/>
          <w:color w:val="auto"/>
          <w:u w:val="none"/>
        </w:rPr>
        <w:t xml:space="preserve"> 范围</w:t>
      </w:r>
      <w:r>
        <w:rPr>
          <w:rFonts w:hAnsi="宋体"/>
        </w:rPr>
        <w:tab/>
      </w:r>
      <w:r>
        <w:rPr>
          <w:rFonts w:hAnsi="宋体"/>
        </w:rPr>
        <w:fldChar w:fldCharType="end"/>
      </w:r>
      <w:r>
        <w:rPr>
          <w:rFonts w:hint="eastAsia" w:hAnsi="宋体"/>
        </w:rPr>
        <w:t>1</w:t>
      </w:r>
    </w:p>
    <w:p w14:paraId="4C19A824">
      <w:pPr>
        <w:pStyle w:val="34"/>
        <w:spacing w:before="78" w:beforeLines="25" w:after="78" w:afterLines="25"/>
        <w:rPr>
          <w:rFonts w:hAnsi="宋体" w:cstheme="minorBidi"/>
        </w:rPr>
      </w:pPr>
      <w:r>
        <w:fldChar w:fldCharType="begin"/>
      </w:r>
      <w:r>
        <w:instrText xml:space="preserve"> HYPERLINK \l "_Toc519092813" </w:instrText>
      </w:r>
      <w:r>
        <w:fldChar w:fldCharType="separate"/>
      </w:r>
      <w:r>
        <w:rPr>
          <w:rStyle w:val="47"/>
          <w:rFonts w:hAnsi="宋体"/>
          <w:color w:val="auto"/>
          <w:u w:val="none"/>
        </w:rPr>
        <w:t>2</w:t>
      </w:r>
      <w:r>
        <w:rPr>
          <w:rStyle w:val="47"/>
          <w:rFonts w:hint="eastAsia" w:hAnsi="宋体"/>
          <w:color w:val="auto"/>
          <w:u w:val="none"/>
        </w:rPr>
        <w:t xml:space="preserve"> 规范性引用文件</w:t>
      </w:r>
      <w:r>
        <w:rPr>
          <w:rFonts w:hAnsi="宋体"/>
        </w:rPr>
        <w:tab/>
      </w:r>
      <w:r>
        <w:rPr>
          <w:rFonts w:hAnsi="宋体"/>
        </w:rPr>
        <w:fldChar w:fldCharType="end"/>
      </w:r>
      <w:r>
        <w:rPr>
          <w:rFonts w:hint="eastAsia" w:hAnsi="宋体"/>
        </w:rPr>
        <w:t>1</w:t>
      </w:r>
    </w:p>
    <w:p w14:paraId="430E95F5">
      <w:pPr>
        <w:pStyle w:val="34"/>
        <w:spacing w:before="78" w:beforeLines="25" w:after="78" w:afterLines="25"/>
        <w:rPr>
          <w:rFonts w:hAnsi="宋体"/>
        </w:rPr>
      </w:pPr>
      <w:r>
        <w:fldChar w:fldCharType="begin"/>
      </w:r>
      <w:r>
        <w:instrText xml:space="preserve"> HYPERLINK \l "_Toc519092814" </w:instrText>
      </w:r>
      <w:r>
        <w:fldChar w:fldCharType="separate"/>
      </w:r>
      <w:r>
        <w:rPr>
          <w:rStyle w:val="46"/>
          <w:rFonts w:hAnsi="宋体"/>
          <w:color w:val="auto"/>
          <w:u w:val="none"/>
        </w:rPr>
        <w:t>3</w:t>
      </w:r>
      <w:r>
        <w:rPr>
          <w:rStyle w:val="46"/>
          <w:rFonts w:hint="eastAsia" w:hAnsi="宋体"/>
          <w:color w:val="auto"/>
          <w:u w:val="none"/>
        </w:rPr>
        <w:t xml:space="preserve"> 术语和定义</w:t>
      </w:r>
      <w:r>
        <w:rPr>
          <w:rFonts w:hAnsi="宋体"/>
        </w:rPr>
        <w:tab/>
      </w:r>
      <w:r>
        <w:rPr>
          <w:rFonts w:hAnsi="宋体"/>
        </w:rPr>
        <w:t>1</w:t>
      </w:r>
      <w:r>
        <w:rPr>
          <w:rFonts w:hAnsi="宋体"/>
        </w:rPr>
        <w:fldChar w:fldCharType="end"/>
      </w:r>
    </w:p>
    <w:p w14:paraId="10925B9C">
      <w:pPr>
        <w:pStyle w:val="34"/>
        <w:spacing w:before="78" w:beforeLines="25" w:after="78" w:afterLines="25"/>
        <w:rPr>
          <w:rFonts w:hAnsi="宋体"/>
        </w:rPr>
      </w:pPr>
      <w:r>
        <w:fldChar w:fldCharType="begin"/>
      </w:r>
      <w:r>
        <w:instrText xml:space="preserve"> HYPERLINK \l "_Toc519092814" </w:instrText>
      </w:r>
      <w:r>
        <w:fldChar w:fldCharType="separate"/>
      </w:r>
      <w:r>
        <w:rPr>
          <w:rStyle w:val="47"/>
          <w:rFonts w:hAnsi="宋体"/>
          <w:color w:val="auto"/>
          <w:u w:val="none"/>
        </w:rPr>
        <w:t>4</w:t>
      </w:r>
      <w:r>
        <w:rPr>
          <w:rStyle w:val="47"/>
          <w:rFonts w:hint="eastAsia" w:hAnsi="宋体"/>
          <w:color w:val="auto"/>
          <w:u w:val="none"/>
        </w:rPr>
        <w:t xml:space="preserve"> 报废条件</w:t>
      </w:r>
      <w:r>
        <w:rPr>
          <w:rFonts w:hAnsi="宋体"/>
        </w:rPr>
        <w:tab/>
      </w:r>
      <w:r>
        <w:rPr>
          <w:rFonts w:hAnsi="宋体"/>
        </w:rPr>
        <w:fldChar w:fldCharType="end"/>
      </w:r>
      <w:r>
        <w:rPr>
          <w:rFonts w:hAnsi="宋体"/>
        </w:rPr>
        <w:t>1</w:t>
      </w:r>
    </w:p>
    <w:p w14:paraId="4246A75A">
      <w:pPr>
        <w:pStyle w:val="34"/>
        <w:spacing w:before="78" w:beforeLines="25" w:after="78" w:afterLines="25"/>
        <w:rPr>
          <w:rFonts w:hAnsi="宋体"/>
        </w:rPr>
      </w:pPr>
      <w:r>
        <w:fldChar w:fldCharType="begin"/>
      </w:r>
      <w:r>
        <w:instrText xml:space="preserve"> HYPERLINK \l "_Toc519092814" </w:instrText>
      </w:r>
      <w:r>
        <w:fldChar w:fldCharType="separate"/>
      </w:r>
      <w:r>
        <w:rPr>
          <w:rStyle w:val="47"/>
          <w:rFonts w:hAnsi="宋体"/>
          <w:color w:val="auto"/>
          <w:u w:val="none"/>
        </w:rPr>
        <w:t>5</w:t>
      </w:r>
      <w:r>
        <w:rPr>
          <w:rStyle w:val="47"/>
          <w:rFonts w:hint="eastAsia" w:hAnsi="宋体"/>
          <w:color w:val="auto"/>
          <w:u w:val="none"/>
        </w:rPr>
        <w:t xml:space="preserve"> 记录</w:t>
      </w:r>
      <w:r>
        <w:rPr>
          <w:rFonts w:hAnsi="宋体"/>
        </w:rPr>
        <w:tab/>
      </w:r>
      <w:r>
        <w:rPr>
          <w:rFonts w:hAnsi="宋体"/>
        </w:rPr>
        <w:fldChar w:fldCharType="end"/>
      </w:r>
      <w:r>
        <w:rPr>
          <w:rFonts w:hAnsi="宋体"/>
        </w:rPr>
        <w:t>4</w:t>
      </w:r>
    </w:p>
    <w:p w14:paraId="281674F7"/>
    <w:p w14:paraId="7B3AF68B"/>
    <w:p w14:paraId="19B3CF4A">
      <w:pPr>
        <w:pStyle w:val="122"/>
      </w:pPr>
      <w:bookmarkStart w:id="8" w:name="_Toc505868768"/>
      <w:r>
        <w:rPr>
          <w:rFonts w:hint="eastAsia"/>
        </w:rPr>
        <w:t>前</w:t>
      </w:r>
      <w:bookmarkStart w:id="9" w:name="BKQY"/>
      <w:r>
        <w:rPr>
          <w:rFonts w:hAnsi="黑体"/>
        </w:rPr>
        <w:t>  </w:t>
      </w:r>
      <w:r>
        <w:rPr>
          <w:rFonts w:hint="eastAsia"/>
        </w:rPr>
        <w:t>言</w:t>
      </w:r>
      <w:bookmarkEnd w:id="6"/>
      <w:bookmarkEnd w:id="8"/>
      <w:bookmarkEnd w:id="9"/>
    </w:p>
    <w:p w14:paraId="64BD4282">
      <w:pPr>
        <w:pStyle w:val="29"/>
        <w:spacing w:line="276" w:lineRule="auto"/>
        <w:rPr>
          <w:rFonts w:hAnsi="宋体"/>
        </w:rPr>
      </w:pPr>
      <w:r>
        <w:rPr>
          <w:rFonts w:hint="eastAsia" w:hAnsi="宋体"/>
        </w:rPr>
        <w:t>本文件按照GB/T 1.1—2020《标准化工作导则  第1部分：标准化文件的结构和起草规则》的规定起草。</w:t>
      </w:r>
    </w:p>
    <w:p w14:paraId="46736C58">
      <w:pPr>
        <w:pStyle w:val="29"/>
        <w:spacing w:line="276" w:lineRule="auto"/>
        <w:rPr>
          <w:rFonts w:hAnsi="宋体"/>
        </w:rPr>
      </w:pPr>
      <w:r>
        <w:rPr>
          <w:rFonts w:hint="eastAsia" w:hAnsi="宋体"/>
        </w:rPr>
        <w:t>请注意本文件的某些内容可能涉及专利。本文件的发布机构不承担识别专利的责任。</w:t>
      </w:r>
    </w:p>
    <w:p w14:paraId="651C7259">
      <w:pPr>
        <w:pStyle w:val="29"/>
        <w:spacing w:line="276" w:lineRule="auto"/>
        <w:rPr>
          <w:rFonts w:hAnsi="宋体"/>
        </w:rPr>
      </w:pPr>
      <w:r>
        <w:rPr>
          <w:rFonts w:hAnsi="宋体"/>
        </w:rPr>
        <w:t>本</w:t>
      </w:r>
      <w:r>
        <w:rPr>
          <w:rFonts w:hint="eastAsia" w:hAnsi="宋体"/>
        </w:rPr>
        <w:t>文件</w:t>
      </w:r>
      <w:r>
        <w:rPr>
          <w:rFonts w:hAnsi="宋体"/>
        </w:rPr>
        <w:t>由中国</w:t>
      </w:r>
      <w:r>
        <w:rPr>
          <w:rFonts w:hint="eastAsia" w:hAnsi="宋体"/>
        </w:rPr>
        <w:t>工程</w:t>
      </w:r>
      <w:r>
        <w:rPr>
          <w:rFonts w:hAnsi="宋体"/>
        </w:rPr>
        <w:t>机械工业协会提出并归口</w:t>
      </w:r>
      <w:r>
        <w:rPr>
          <w:rFonts w:hint="eastAsia" w:hAnsi="宋体"/>
        </w:rPr>
        <w:t>。</w:t>
      </w:r>
    </w:p>
    <w:p w14:paraId="5AD1DE63">
      <w:pPr>
        <w:pStyle w:val="29"/>
        <w:spacing w:line="276" w:lineRule="auto"/>
        <w:rPr>
          <w:rFonts w:hAnsi="宋体"/>
        </w:rPr>
      </w:pPr>
      <w:r>
        <w:rPr>
          <w:rFonts w:hint="eastAsia" w:hAnsi="宋体"/>
        </w:rPr>
        <w:t>本文件由中国工程机械工业协会装修与高空作业机械分会组织制订。</w:t>
      </w:r>
    </w:p>
    <w:p w14:paraId="48004774">
      <w:pPr>
        <w:pStyle w:val="29"/>
        <w:spacing w:line="276" w:lineRule="auto"/>
        <w:rPr>
          <w:rFonts w:hAnsi="宋体"/>
        </w:rPr>
      </w:pPr>
      <w:r>
        <w:rPr>
          <w:rFonts w:hAnsi="宋体"/>
        </w:rPr>
        <w:t>本</w:t>
      </w:r>
      <w:r>
        <w:rPr>
          <w:rFonts w:hint="eastAsia" w:hAnsi="宋体"/>
        </w:rPr>
        <w:t>文件起草</w:t>
      </w:r>
      <w:r>
        <w:rPr>
          <w:rFonts w:hAnsi="宋体"/>
        </w:rPr>
        <w:t>单位</w:t>
      </w:r>
      <w:r>
        <w:rPr>
          <w:rFonts w:hint="eastAsia" w:hAnsi="宋体"/>
        </w:rPr>
        <w:t>：*****、*****</w:t>
      </w:r>
      <w:r>
        <w:rPr>
          <w:rFonts w:hAnsi="宋体"/>
        </w:rPr>
        <w:t>。</w:t>
      </w:r>
    </w:p>
    <w:p w14:paraId="0098C27C">
      <w:pPr>
        <w:pStyle w:val="29"/>
        <w:spacing w:line="276" w:lineRule="auto"/>
        <w:rPr>
          <w:rFonts w:hAnsi="宋体"/>
        </w:rPr>
      </w:pPr>
      <w:r>
        <w:rPr>
          <w:rFonts w:hAnsi="宋体"/>
        </w:rPr>
        <w:t>本</w:t>
      </w:r>
      <w:r>
        <w:rPr>
          <w:rFonts w:hint="eastAsia" w:hAnsi="宋体"/>
        </w:rPr>
        <w:t>文件</w:t>
      </w:r>
      <w:r>
        <w:rPr>
          <w:rFonts w:hAnsi="宋体"/>
        </w:rPr>
        <w:t>主要起草人：</w:t>
      </w:r>
      <w:r>
        <w:rPr>
          <w:rFonts w:hint="eastAsia" w:hAnsi="宋体"/>
        </w:rPr>
        <w:t>***、***、***。</w:t>
      </w:r>
    </w:p>
    <w:p w14:paraId="59B71415">
      <w:pPr>
        <w:pStyle w:val="29"/>
        <w:spacing w:line="276" w:lineRule="auto"/>
      </w:pPr>
      <w:r>
        <w:rPr>
          <w:rFonts w:hint="eastAsia"/>
        </w:rPr>
        <w:t>本文件为首次发布。</w:t>
      </w:r>
    </w:p>
    <w:p w14:paraId="630A02A5">
      <w:pPr>
        <w:pStyle w:val="29"/>
      </w:pPr>
    </w:p>
    <w:p w14:paraId="7DF40EDA">
      <w:pPr>
        <w:pStyle w:val="29"/>
      </w:pPr>
    </w:p>
    <w:p w14:paraId="6A02950E">
      <w:r>
        <w:br w:type="page"/>
      </w:r>
    </w:p>
    <w:p w14:paraId="5496DAC3">
      <w:pPr>
        <w:pStyle w:val="29"/>
        <w:sectPr>
          <w:footerReference r:id="rId11" w:type="first"/>
          <w:headerReference r:id="rId8" w:type="default"/>
          <w:footerReference r:id="rId9" w:type="default"/>
          <w:footerReference r:id="rId10" w:type="even"/>
          <w:pgSz w:w="11906" w:h="16838"/>
          <w:pgMar w:top="567" w:right="1134" w:bottom="1134" w:left="1418" w:header="1418" w:footer="1134" w:gutter="0"/>
          <w:pgNumType w:fmt="upperRoman" w:start="1"/>
          <w:cols w:space="425" w:num="1"/>
          <w:formProt w:val="0"/>
          <w:titlePg/>
          <w:docGrid w:type="lines" w:linePitch="312" w:charSpace="0"/>
        </w:sectPr>
      </w:pPr>
    </w:p>
    <w:p w14:paraId="0389BF6D">
      <w:pPr>
        <w:pStyle w:val="122"/>
      </w:pPr>
      <w:r>
        <w:rPr>
          <w:rFonts w:hint="eastAsia" w:hAnsi="黑体"/>
        </w:rPr>
        <w:t>引</w:t>
      </w:r>
      <w:r>
        <w:rPr>
          <w:rFonts w:hAnsi="黑体"/>
        </w:rPr>
        <w:t>  </w:t>
      </w:r>
      <w:r>
        <w:rPr>
          <w:rFonts w:hint="eastAsia"/>
        </w:rPr>
        <w:t>言</w:t>
      </w:r>
    </w:p>
    <w:p w14:paraId="1A34795A">
      <w:pPr>
        <w:widowControl/>
        <w:kinsoku w:val="0"/>
        <w:overflowPunct w:val="0"/>
        <w:spacing w:line="276" w:lineRule="auto"/>
        <w:ind w:firstLine="420"/>
        <w:jc w:val="left"/>
        <w:textAlignment w:val="baseline"/>
        <w:rPr>
          <w:rFonts w:ascii="宋体" w:hAnsi="宋体"/>
          <w:kern w:val="0"/>
        </w:rPr>
      </w:pPr>
      <w:r>
        <w:rPr>
          <w:rFonts w:hint="eastAsia" w:ascii="宋体" w:hAnsi="宋体"/>
        </w:rPr>
        <w:t>高处作业吊篮在建筑外立面的施工中得到了广泛的应用，作为在施工现场临时安装且拆装频率较高的高空作业设备，吊篮零部件的维护、修复工作量较大。</w:t>
      </w:r>
      <w:r>
        <w:rPr>
          <w:rFonts w:hint="eastAsia" w:ascii="宋体" w:hAnsi="宋体"/>
          <w:kern w:val="0"/>
        </w:rPr>
        <w:t>由于高处作业吊篮的专业性，部分吊篮维保从业者</w:t>
      </w:r>
      <w:r>
        <w:rPr>
          <w:rFonts w:hint="eastAsia" w:ascii="宋体" w:hAnsi="宋体"/>
        </w:rPr>
        <w:t>在实际维护</w:t>
      </w:r>
      <w:r>
        <w:rPr>
          <w:rFonts w:ascii="宋体" w:hAnsi="宋体"/>
        </w:rPr>
        <w:t>、</w:t>
      </w:r>
      <w:r>
        <w:rPr>
          <w:rFonts w:hint="eastAsia" w:ascii="宋体" w:hAnsi="宋体"/>
        </w:rPr>
        <w:t>修复过程中</w:t>
      </w:r>
      <w:r>
        <w:rPr>
          <w:rFonts w:hint="eastAsia" w:ascii="宋体" w:hAnsi="宋体"/>
          <w:kern w:val="0"/>
        </w:rPr>
        <w:t>难以准确判断已损坏或性能下降的吊篮零部件的报废界限，致使部分吊篮带病运行，使用中存在安全隐患。</w:t>
      </w:r>
    </w:p>
    <w:p w14:paraId="69503791">
      <w:pPr>
        <w:widowControl/>
        <w:kinsoku w:val="0"/>
        <w:overflowPunct w:val="0"/>
        <w:spacing w:line="276" w:lineRule="auto"/>
        <w:ind w:firstLine="420"/>
        <w:jc w:val="left"/>
        <w:textAlignment w:val="baseline"/>
        <w:rPr>
          <w:rFonts w:ascii="宋体" w:hAnsi="宋体" w:cs="宋体"/>
          <w:kern w:val="0"/>
        </w:rPr>
      </w:pPr>
      <w:r>
        <w:rPr>
          <w:rFonts w:hint="eastAsia" w:ascii="宋体" w:hAnsi="宋体"/>
        </w:rPr>
        <w:t>本文件的制定对高处作业吊篮主要零部件的报废列出了较为详细的技术要求及技术指标，</w:t>
      </w:r>
      <w:r>
        <w:rPr>
          <w:rFonts w:hint="eastAsia" w:ascii="宋体" w:hAnsi="宋体"/>
          <w:kern w:val="0"/>
        </w:rPr>
        <w:t>为相关人员对吊篮主要零部件报废的判定提供依据，对提高吊篮维修质量、更好地利用存量吊篮具有促进作用。本文件的制定有利于消除吊篮使用中的安全隐患，有效降低施工作业安全风险，对减少安全事故的发生具有重要意义。</w:t>
      </w:r>
    </w:p>
    <w:p w14:paraId="28E91D14">
      <w:pPr>
        <w:pStyle w:val="199"/>
        <w:widowControl/>
        <w:kinsoku w:val="0"/>
        <w:overflowPunct w:val="0"/>
        <w:spacing w:line="276" w:lineRule="auto"/>
        <w:ind w:left="1"/>
        <w:jc w:val="left"/>
        <w:textAlignment w:val="baseline"/>
        <w:rPr>
          <w:rFonts w:ascii="宋体" w:hAnsi="宋体"/>
        </w:rPr>
      </w:pPr>
      <w:r>
        <w:rPr>
          <w:rFonts w:hint="eastAsia" w:ascii="宋体" w:hAnsi="宋体"/>
          <w:kern w:val="0"/>
        </w:rPr>
        <w:t>本文件的制定为GB/T 19155-2017《高处作业吊篮》的实施提供配套支撑，是GB/T 19155-2017《高处作业吊篮》在主要零部件报废方面的补充和完善，有利于</w:t>
      </w:r>
      <w:r>
        <w:rPr>
          <w:rFonts w:hint="eastAsia" w:ascii="宋体" w:hAnsi="宋体"/>
          <w:color w:val="000000" w:themeColor="text1"/>
          <w:kern w:val="0"/>
          <w14:textFill>
            <w14:solidFill>
              <w14:schemeClr w14:val="tx1"/>
            </w14:solidFill>
          </w14:textFill>
        </w:rPr>
        <w:t>推动高处作业吊篮行业的健康有序发展，满足社会绿色发展的需求。</w:t>
      </w:r>
    </w:p>
    <w:p w14:paraId="6A5A0331">
      <w:pPr>
        <w:pStyle w:val="29"/>
        <w:sectPr>
          <w:footerReference r:id="rId15" w:type="first"/>
          <w:headerReference r:id="rId12" w:type="default"/>
          <w:footerReference r:id="rId13" w:type="default"/>
          <w:footerReference r:id="rId14" w:type="even"/>
          <w:pgSz w:w="11906" w:h="16838"/>
          <w:pgMar w:top="567" w:right="1134" w:bottom="1134" w:left="1418" w:header="1418" w:footer="1134" w:gutter="0"/>
          <w:pgNumType w:fmt="upperRoman"/>
          <w:cols w:space="425" w:num="1"/>
          <w:formProt w:val="0"/>
          <w:titlePg/>
          <w:docGrid w:type="lines" w:linePitch="312" w:charSpace="0"/>
        </w:sectPr>
      </w:pPr>
    </w:p>
    <w:p w14:paraId="60A80F9B">
      <w:pPr>
        <w:pStyle w:val="60"/>
        <w:spacing w:before="312" w:beforeLines="100" w:after="312" w:afterLines="100"/>
        <w:rPr>
          <w:spacing w:val="20"/>
          <w:szCs w:val="32"/>
        </w:rPr>
      </w:pPr>
      <w:r>
        <w:rPr>
          <w:rFonts w:hint="eastAsia"/>
          <w:spacing w:val="20"/>
          <w:szCs w:val="32"/>
        </w:rPr>
        <w:t>高处作业吊篮主要零部件报废条件</w:t>
      </w:r>
    </w:p>
    <w:p w14:paraId="3A072C62">
      <w:pPr>
        <w:widowControl/>
        <w:adjustRightInd w:val="0"/>
        <w:snapToGrid w:val="0"/>
        <w:spacing w:before="312" w:beforeLines="100" w:after="312" w:afterLines="100"/>
        <w:jc w:val="left"/>
        <w:rPr>
          <w:rFonts w:ascii="黑体" w:hAnsi="黑体" w:eastAsia="黑体"/>
          <w:kern w:val="0"/>
          <w:szCs w:val="21"/>
        </w:rPr>
      </w:pPr>
      <w:r>
        <w:rPr>
          <w:rFonts w:hint="eastAsia" w:ascii="黑体" w:hAnsi="黑体" w:eastAsia="黑体"/>
          <w:kern w:val="0"/>
          <w:szCs w:val="21"/>
        </w:rPr>
        <w:t>1</w:t>
      </w:r>
      <w:r>
        <w:rPr>
          <w:rFonts w:ascii="黑体" w:hAnsi="黑体" w:eastAsia="黑体"/>
          <w:kern w:val="0"/>
          <w:szCs w:val="21"/>
        </w:rPr>
        <w:t xml:space="preserve"> </w:t>
      </w:r>
      <w:r>
        <w:rPr>
          <w:rFonts w:hint="eastAsia" w:ascii="黑体" w:hAnsi="黑体" w:eastAsia="黑体"/>
          <w:kern w:val="0"/>
          <w:szCs w:val="21"/>
        </w:rPr>
        <w:t>范围</w:t>
      </w:r>
    </w:p>
    <w:p w14:paraId="59AEE5A8">
      <w:pPr>
        <w:widowControl/>
        <w:adjustRightInd w:val="0"/>
        <w:snapToGrid w:val="0"/>
        <w:spacing w:line="300" w:lineRule="auto"/>
        <w:ind w:firstLine="420" w:firstLineChars="200"/>
        <w:jc w:val="left"/>
        <w:rPr>
          <w:rFonts w:ascii="宋体" w:hAnsi="宋体"/>
          <w:kern w:val="0"/>
          <w:szCs w:val="21"/>
        </w:rPr>
      </w:pPr>
      <w:bookmarkStart w:id="10" w:name="OLE_LINK4"/>
      <w:bookmarkStart w:id="11" w:name="OLE_LINK3"/>
      <w:bookmarkStart w:id="12" w:name="OLE_LINK5"/>
      <w:r>
        <w:rPr>
          <w:rFonts w:hint="eastAsia" w:ascii="宋体" w:hAnsi="宋体"/>
          <w:kern w:val="0"/>
          <w:szCs w:val="21"/>
        </w:rPr>
        <w:t>本文件规定了用于运送人员到工作位置并在悬吊平台上工作的高处作业吊篮（以下简称“吊篮”）主要零部件的报废条件。吊篮主要零部件包括提升机、安全锁、钢丝绳及固定装置、结构件、配重、电气控制箱等。</w:t>
      </w:r>
    </w:p>
    <w:p w14:paraId="5211E995">
      <w:pPr>
        <w:snapToGrid w:val="0"/>
        <w:spacing w:line="300" w:lineRule="auto"/>
        <w:ind w:firstLine="420" w:firstLineChars="200"/>
        <w:rPr>
          <w:rFonts w:ascii="宋体" w:hAnsi="宋体"/>
          <w:kern w:val="0"/>
          <w:szCs w:val="21"/>
        </w:rPr>
      </w:pPr>
      <w:r>
        <w:rPr>
          <w:rFonts w:hint="eastAsia" w:ascii="宋体" w:hAnsi="宋体"/>
          <w:kern w:val="0"/>
          <w:szCs w:val="21"/>
        </w:rPr>
        <w:t>本文件适用于G</w:t>
      </w:r>
      <w:r>
        <w:rPr>
          <w:rFonts w:ascii="宋体" w:hAnsi="宋体"/>
          <w:kern w:val="0"/>
          <w:szCs w:val="21"/>
        </w:rPr>
        <w:t>B/T 19155</w:t>
      </w:r>
      <w:r>
        <w:rPr>
          <w:rFonts w:hint="eastAsia" w:ascii="宋体" w:hAnsi="宋体"/>
          <w:kern w:val="0"/>
          <w:szCs w:val="21"/>
        </w:rPr>
        <w:t>界定的电力驱动爬升式吊篮主要零部件的报废。卷扬式吊篮、夹钳式吊篮、手动或气动爬升式吊篮主要零部件的报废可参照本文件执行。</w:t>
      </w:r>
    </w:p>
    <w:bookmarkEnd w:id="10"/>
    <w:bookmarkEnd w:id="11"/>
    <w:bookmarkEnd w:id="12"/>
    <w:p w14:paraId="2505003C">
      <w:pPr>
        <w:widowControl/>
        <w:adjustRightInd w:val="0"/>
        <w:snapToGrid w:val="0"/>
        <w:spacing w:before="312" w:beforeLines="100" w:after="312" w:afterLines="100"/>
        <w:jc w:val="left"/>
        <w:rPr>
          <w:rFonts w:ascii="黑体" w:hAnsi="黑体" w:eastAsia="黑体"/>
          <w:kern w:val="0"/>
          <w:szCs w:val="21"/>
        </w:rPr>
      </w:pPr>
      <w:r>
        <w:rPr>
          <w:rFonts w:hint="eastAsia" w:ascii="黑体" w:hAnsi="黑体" w:eastAsia="黑体"/>
          <w:kern w:val="0"/>
          <w:szCs w:val="21"/>
        </w:rPr>
        <w:t>2</w:t>
      </w:r>
      <w:r>
        <w:rPr>
          <w:rFonts w:ascii="黑体" w:hAnsi="黑体" w:eastAsia="黑体"/>
          <w:kern w:val="0"/>
          <w:szCs w:val="21"/>
        </w:rPr>
        <w:t xml:space="preserve"> </w:t>
      </w:r>
      <w:r>
        <w:rPr>
          <w:rFonts w:hint="eastAsia" w:ascii="黑体" w:hAnsi="黑体" w:eastAsia="黑体"/>
          <w:kern w:val="0"/>
          <w:szCs w:val="21"/>
        </w:rPr>
        <w:t>规范性应用文件</w:t>
      </w:r>
    </w:p>
    <w:p w14:paraId="460234CF">
      <w:pPr>
        <w:autoSpaceDE w:val="0"/>
        <w:autoSpaceDN w:val="0"/>
        <w:snapToGrid w:val="0"/>
        <w:spacing w:line="300" w:lineRule="auto"/>
        <w:ind w:firstLine="420" w:firstLineChars="200"/>
        <w:rPr>
          <w:rFonts w:ascii="宋体"/>
          <w:kern w:val="0"/>
          <w:szCs w:val="21"/>
        </w:rPr>
      </w:pPr>
      <w:r>
        <w:rPr>
          <w:rFonts w:hint="eastAsia" w:ascii="宋体"/>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C97B3AE">
      <w:pPr>
        <w:autoSpaceDE w:val="0"/>
        <w:autoSpaceDN w:val="0"/>
        <w:adjustRightInd w:val="0"/>
        <w:snapToGrid w:val="0"/>
        <w:spacing w:line="300" w:lineRule="auto"/>
        <w:ind w:firstLine="420" w:firstLineChars="200"/>
        <w:rPr>
          <w:rFonts w:ascii="宋体"/>
          <w:kern w:val="0"/>
          <w:szCs w:val="21"/>
        </w:rPr>
      </w:pPr>
      <w:r>
        <w:rPr>
          <w:rFonts w:hint="eastAsia" w:ascii="宋体"/>
          <w:kern w:val="0"/>
          <w:szCs w:val="21"/>
        </w:rPr>
        <w:t>GB/T 4208</w:t>
      </w:r>
      <w:r>
        <w:rPr>
          <w:rFonts w:ascii="宋体"/>
          <w:kern w:val="0"/>
          <w:szCs w:val="21"/>
        </w:rPr>
        <w:t xml:space="preserve">  </w:t>
      </w:r>
      <w:r>
        <w:rPr>
          <w:rFonts w:hint="eastAsia" w:ascii="宋体"/>
          <w:kern w:val="0"/>
          <w:szCs w:val="21"/>
        </w:rPr>
        <w:t>外壳防护等级（IP代码）</w:t>
      </w:r>
    </w:p>
    <w:p w14:paraId="7E51BE3F">
      <w:pPr>
        <w:widowControl/>
        <w:adjustRightInd w:val="0"/>
        <w:snapToGrid w:val="0"/>
        <w:spacing w:line="300" w:lineRule="auto"/>
        <w:ind w:firstLine="420" w:firstLineChars="200"/>
        <w:jc w:val="left"/>
        <w:rPr>
          <w:rFonts w:ascii="宋体" w:hAnsi="宋体"/>
          <w:kern w:val="0"/>
          <w:szCs w:val="21"/>
        </w:rPr>
      </w:pPr>
      <w:r>
        <w:rPr>
          <w:rFonts w:ascii="宋体" w:hAnsi="宋体"/>
          <w:kern w:val="0"/>
          <w:szCs w:val="21"/>
        </w:rPr>
        <w:t xml:space="preserve">GB/T 5972-2023  </w:t>
      </w:r>
      <w:r>
        <w:rPr>
          <w:rFonts w:hint="eastAsia" w:ascii="宋体" w:hAnsi="宋体"/>
          <w:kern w:val="0"/>
          <w:szCs w:val="21"/>
        </w:rPr>
        <w:t xml:space="preserve">起重机 </w:t>
      </w:r>
      <w:r>
        <w:rPr>
          <w:rFonts w:ascii="宋体" w:hAnsi="宋体"/>
          <w:kern w:val="0"/>
          <w:szCs w:val="21"/>
        </w:rPr>
        <w:t xml:space="preserve"> </w:t>
      </w:r>
      <w:r>
        <w:rPr>
          <w:rFonts w:hint="eastAsia" w:ascii="宋体" w:hAnsi="宋体"/>
          <w:kern w:val="0"/>
          <w:szCs w:val="21"/>
        </w:rPr>
        <w:t xml:space="preserve">钢丝绳 </w:t>
      </w:r>
      <w:r>
        <w:rPr>
          <w:rFonts w:ascii="宋体" w:hAnsi="宋体"/>
          <w:kern w:val="0"/>
          <w:szCs w:val="21"/>
        </w:rPr>
        <w:t xml:space="preserve"> </w:t>
      </w:r>
      <w:r>
        <w:rPr>
          <w:rFonts w:hint="eastAsia" w:ascii="宋体" w:hAnsi="宋体"/>
          <w:kern w:val="0"/>
          <w:szCs w:val="21"/>
        </w:rPr>
        <w:t>保养、维护、检验和报废</w:t>
      </w:r>
    </w:p>
    <w:p w14:paraId="18E9585F">
      <w:pPr>
        <w:widowControl/>
        <w:adjustRightInd w:val="0"/>
        <w:snapToGrid w:val="0"/>
        <w:spacing w:line="300" w:lineRule="auto"/>
        <w:ind w:firstLine="420" w:firstLineChars="200"/>
        <w:jc w:val="left"/>
        <w:rPr>
          <w:rFonts w:ascii="宋体" w:hAnsi="宋体"/>
          <w:kern w:val="0"/>
          <w:szCs w:val="21"/>
        </w:rPr>
      </w:pPr>
      <w:r>
        <w:rPr>
          <w:rFonts w:ascii="宋体" w:hAnsi="宋体"/>
          <w:kern w:val="0"/>
          <w:szCs w:val="21"/>
        </w:rPr>
        <w:t xml:space="preserve">GB/T 19155-2017  </w:t>
      </w:r>
      <w:r>
        <w:rPr>
          <w:rFonts w:hint="eastAsia" w:ascii="宋体" w:hAnsi="宋体"/>
          <w:kern w:val="0"/>
          <w:szCs w:val="21"/>
        </w:rPr>
        <w:t>高处作业吊篮</w:t>
      </w:r>
    </w:p>
    <w:p w14:paraId="25D4CFD5">
      <w:pPr>
        <w:widowControl/>
        <w:adjustRightInd w:val="0"/>
        <w:snapToGrid w:val="0"/>
        <w:spacing w:before="312" w:beforeLines="100" w:after="312" w:afterLines="100"/>
        <w:jc w:val="left"/>
        <w:rPr>
          <w:rFonts w:ascii="黑体" w:hAnsi="黑体" w:eastAsia="黑体"/>
          <w:kern w:val="0"/>
          <w:szCs w:val="21"/>
        </w:rPr>
      </w:pPr>
      <w:r>
        <w:rPr>
          <w:rFonts w:hint="eastAsia" w:ascii="黑体" w:hAnsi="黑体" w:eastAsia="黑体"/>
          <w:kern w:val="0"/>
          <w:szCs w:val="21"/>
        </w:rPr>
        <w:t>3</w:t>
      </w:r>
      <w:r>
        <w:rPr>
          <w:rFonts w:ascii="黑体" w:hAnsi="黑体" w:eastAsia="黑体"/>
          <w:kern w:val="0"/>
          <w:szCs w:val="21"/>
        </w:rPr>
        <w:t xml:space="preserve">  </w:t>
      </w:r>
      <w:r>
        <w:rPr>
          <w:rFonts w:hint="eastAsia" w:ascii="黑体" w:hAnsi="黑体" w:eastAsia="黑体"/>
          <w:kern w:val="0"/>
          <w:szCs w:val="21"/>
        </w:rPr>
        <w:t>术语和定义</w:t>
      </w:r>
    </w:p>
    <w:p w14:paraId="3883F60D">
      <w:pPr>
        <w:widowControl/>
        <w:adjustRightInd w:val="0"/>
        <w:snapToGrid w:val="0"/>
        <w:spacing w:after="200"/>
        <w:ind w:firstLine="443"/>
        <w:jc w:val="left"/>
        <w:rPr>
          <w:rFonts w:ascii="宋体" w:hAnsi="宋体"/>
          <w:color w:val="FF0000"/>
          <w:kern w:val="0"/>
          <w:szCs w:val="21"/>
        </w:rPr>
      </w:pPr>
      <w:r>
        <w:rPr>
          <w:rFonts w:hint="eastAsia" w:ascii="宋体" w:hAnsi="宋体"/>
          <w:kern w:val="0"/>
          <w:szCs w:val="21"/>
        </w:rPr>
        <w:t>G</w:t>
      </w:r>
      <w:r>
        <w:rPr>
          <w:rFonts w:ascii="宋体" w:hAnsi="宋体"/>
          <w:kern w:val="0"/>
          <w:szCs w:val="21"/>
        </w:rPr>
        <w:t>B/T 19155</w:t>
      </w:r>
      <w:r>
        <w:rPr>
          <w:rFonts w:hint="eastAsia" w:ascii="宋体" w:hAnsi="宋体"/>
          <w:kern w:val="0"/>
          <w:szCs w:val="21"/>
        </w:rPr>
        <w:t>界定的以及下列术语和定义适用于本文件。</w:t>
      </w:r>
    </w:p>
    <w:p w14:paraId="1F6123EC">
      <w:pPr>
        <w:widowControl/>
        <w:adjustRightInd w:val="0"/>
        <w:snapToGrid w:val="0"/>
        <w:spacing w:before="312" w:beforeLines="100" w:after="312" w:afterLines="10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  </w:t>
      </w:r>
      <w:r>
        <w:rPr>
          <w:rFonts w:hint="eastAsia" w:ascii="黑体" w:hAnsi="黑体" w:eastAsia="黑体"/>
          <w:kern w:val="0"/>
          <w:szCs w:val="21"/>
        </w:rPr>
        <w:t>报废条件</w:t>
      </w:r>
    </w:p>
    <w:p w14:paraId="51CBFADC">
      <w:pPr>
        <w:widowControl/>
        <w:adjustRightInd w:val="0"/>
        <w:snapToGrid w:val="0"/>
        <w:spacing w:before="156" w:beforeLines="50" w:after="156" w:afterLines="5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.1 </w:t>
      </w:r>
      <w:r>
        <w:rPr>
          <w:rFonts w:hint="eastAsia" w:ascii="黑体" w:hAnsi="黑体" w:eastAsia="黑体"/>
          <w:kern w:val="0"/>
          <w:szCs w:val="21"/>
        </w:rPr>
        <w:t>总则</w:t>
      </w:r>
    </w:p>
    <w:p w14:paraId="2C36F1AE">
      <w:pPr>
        <w:widowControl/>
        <w:adjustRightInd w:val="0"/>
        <w:snapToGrid w:val="0"/>
        <w:spacing w:after="200"/>
        <w:ind w:firstLine="443"/>
        <w:jc w:val="left"/>
        <w:rPr>
          <w:rFonts w:ascii="宋体" w:hAnsi="宋体"/>
          <w:kern w:val="0"/>
          <w:szCs w:val="21"/>
        </w:rPr>
      </w:pPr>
      <w:r>
        <w:rPr>
          <w:rFonts w:hint="eastAsia" w:ascii="宋体" w:hAnsi="宋体"/>
          <w:kern w:val="0"/>
          <w:szCs w:val="21"/>
        </w:rPr>
        <w:t>吊篮主要零部件因损坏、性能下降或功能失效而达到本文件规定的报废条件且无法修复的，应予报废。</w:t>
      </w:r>
    </w:p>
    <w:p w14:paraId="5B424D70">
      <w:pPr>
        <w:widowControl/>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.2 </w:t>
      </w:r>
      <w:r>
        <w:rPr>
          <w:rFonts w:hint="eastAsia" w:ascii="黑体" w:hAnsi="黑体" w:eastAsia="黑体"/>
          <w:kern w:val="0"/>
          <w:szCs w:val="21"/>
        </w:rPr>
        <w:t>爬升式起升机构（又称为提升机）</w:t>
      </w:r>
    </w:p>
    <w:p w14:paraId="12A788A6">
      <w:pPr>
        <w:widowControl/>
        <w:adjustRightInd w:val="0"/>
        <w:spacing w:before="156" w:beforeLines="50" w:after="156" w:afterLines="50" w:line="300" w:lineRule="auto"/>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.2.1 </w:t>
      </w:r>
      <w:r>
        <w:rPr>
          <w:rFonts w:hint="eastAsia" w:ascii="黑体" w:hAnsi="黑体" w:eastAsia="黑体"/>
          <w:kern w:val="0"/>
          <w:szCs w:val="21"/>
        </w:rPr>
        <w:t>一般要求</w:t>
      </w:r>
    </w:p>
    <w:p w14:paraId="77A22158">
      <w:pPr>
        <w:widowControl/>
        <w:adjustRightInd w:val="0"/>
        <w:snapToGrid w:val="0"/>
        <w:spacing w:line="300" w:lineRule="auto"/>
        <w:ind w:firstLine="420" w:firstLineChars="200"/>
        <w:jc w:val="left"/>
        <w:rPr>
          <w:rFonts w:ascii="宋体" w:hAnsi="宋体"/>
          <w:kern w:val="0"/>
          <w:szCs w:val="21"/>
        </w:rPr>
      </w:pPr>
      <w:r>
        <w:rPr>
          <w:rFonts w:hint="eastAsia" w:ascii="宋体" w:hAnsi="宋体"/>
          <w:kern w:val="0"/>
          <w:szCs w:val="21"/>
        </w:rPr>
        <w:t>提升机出现下列情况之一，视为达到报废条件：</w:t>
      </w:r>
    </w:p>
    <w:p w14:paraId="51314020">
      <w:pPr>
        <w:widowControl/>
        <w:adjustRightInd w:val="0"/>
        <w:snapToGrid w:val="0"/>
        <w:spacing w:line="300" w:lineRule="auto"/>
        <w:ind w:left="707" w:leftChars="203" w:hanging="281" w:hangingChars="134"/>
        <w:jc w:val="left"/>
        <w:rPr>
          <w:rFonts w:ascii="Segoe UI" w:hAnsi="Segoe UI" w:cs="Segoe UI"/>
          <w:shd w:val="clear" w:color="auto" w:fill="FFFFFF"/>
        </w:rPr>
      </w:pPr>
      <w:r>
        <w:rPr>
          <w:rFonts w:ascii="宋体" w:hAnsi="宋体" w:cs="Segoe UI"/>
          <w:shd w:val="clear" w:color="auto" w:fill="FFFFFF"/>
        </w:rPr>
        <w:t>a)</w:t>
      </w:r>
      <w:r>
        <w:rPr>
          <w:rFonts w:ascii="Segoe UI" w:hAnsi="Segoe UI" w:cs="Segoe UI"/>
          <w:shd w:val="clear" w:color="auto" w:fill="FFFFFF"/>
        </w:rPr>
        <w:t xml:space="preserve"> </w:t>
      </w:r>
      <w:r>
        <w:rPr>
          <w:rFonts w:hint="eastAsia" w:ascii="宋体" w:hAnsi="宋体"/>
          <w:kern w:val="0"/>
          <w:szCs w:val="21"/>
        </w:rPr>
        <w:t>运行时电动机或减速系统出现异常温升或振动现象，经修复后仍不符合G</w:t>
      </w:r>
      <w:r>
        <w:rPr>
          <w:rFonts w:ascii="宋体" w:hAnsi="宋体"/>
          <w:kern w:val="0"/>
          <w:szCs w:val="21"/>
        </w:rPr>
        <w:t>B/T 19155-2017</w:t>
      </w:r>
      <w:r>
        <w:rPr>
          <w:rFonts w:hint="eastAsia" w:ascii="宋体" w:hAnsi="宋体"/>
          <w:kern w:val="0"/>
          <w:szCs w:val="21"/>
        </w:rPr>
        <w:t>中</w:t>
      </w:r>
      <w:r>
        <w:rPr>
          <w:rFonts w:ascii="宋体" w:hAnsi="宋体"/>
          <w:kern w:val="0"/>
          <w:szCs w:val="21"/>
        </w:rPr>
        <w:t>5.3.1 c)</w:t>
      </w:r>
      <w:r>
        <w:rPr>
          <w:rFonts w:hint="eastAsia" w:ascii="宋体" w:hAnsi="宋体"/>
          <w:kern w:val="0"/>
          <w:szCs w:val="21"/>
        </w:rPr>
        <w:t>的规定；</w:t>
      </w:r>
    </w:p>
    <w:p w14:paraId="1A4F83A6">
      <w:pPr>
        <w:widowControl/>
        <w:adjustRightInd w:val="0"/>
        <w:snapToGrid w:val="0"/>
        <w:spacing w:line="300" w:lineRule="auto"/>
        <w:ind w:firstLine="420" w:firstLineChars="200"/>
        <w:jc w:val="left"/>
        <w:rPr>
          <w:rFonts w:ascii="宋体" w:hAnsi="宋体"/>
          <w:kern w:val="0"/>
          <w:szCs w:val="21"/>
        </w:rPr>
      </w:pPr>
      <w:r>
        <w:rPr>
          <w:rFonts w:asciiTheme="minorEastAsia" w:hAnsiTheme="minorEastAsia" w:eastAsiaTheme="minorEastAsia"/>
          <w:kern w:val="0"/>
          <w:szCs w:val="21"/>
        </w:rPr>
        <w:t xml:space="preserve">b) </w:t>
      </w:r>
      <w:r>
        <w:rPr>
          <w:rFonts w:hint="eastAsia" w:ascii="宋体" w:hAnsi="宋体"/>
          <w:kern w:val="0"/>
          <w:szCs w:val="21"/>
        </w:rPr>
        <w:t>运行不平稳，出现异常声响现象，经修复后噪声值仍不符合G</w:t>
      </w:r>
      <w:r>
        <w:rPr>
          <w:rFonts w:ascii="宋体" w:hAnsi="宋体"/>
          <w:kern w:val="0"/>
          <w:szCs w:val="21"/>
        </w:rPr>
        <w:t>B/T 19155-2017</w:t>
      </w:r>
      <w:r>
        <w:rPr>
          <w:rFonts w:hint="eastAsia" w:ascii="宋体" w:hAnsi="宋体"/>
          <w:kern w:val="0"/>
          <w:szCs w:val="21"/>
        </w:rPr>
        <w:t>中</w:t>
      </w:r>
      <w:r>
        <w:rPr>
          <w:rFonts w:ascii="宋体" w:hAnsi="宋体"/>
          <w:kern w:val="0"/>
          <w:szCs w:val="21"/>
        </w:rPr>
        <w:t>5.3.3</w:t>
      </w:r>
      <w:r>
        <w:rPr>
          <w:rFonts w:hint="eastAsia" w:ascii="宋体" w:hAnsi="宋体"/>
          <w:kern w:val="0"/>
          <w:szCs w:val="21"/>
        </w:rPr>
        <w:t>的规定；</w:t>
      </w:r>
    </w:p>
    <w:p w14:paraId="2217E40A">
      <w:pPr>
        <w:widowControl/>
        <w:adjustRightInd w:val="0"/>
        <w:snapToGrid w:val="0"/>
        <w:spacing w:line="300" w:lineRule="auto"/>
        <w:ind w:left="707" w:leftChars="200" w:hanging="287" w:hangingChars="137"/>
        <w:jc w:val="left"/>
        <w:rPr>
          <w:rFonts w:ascii="宋体" w:hAnsi="宋体"/>
          <w:kern w:val="0"/>
          <w:szCs w:val="21"/>
        </w:rPr>
      </w:pPr>
      <w:r>
        <w:rPr>
          <w:rFonts w:cs="Segoe UI" w:asciiTheme="minorEastAsia" w:hAnsiTheme="minorEastAsia" w:eastAsiaTheme="minorEastAsia"/>
          <w:shd w:val="clear" w:color="auto" w:fill="FFFFFF"/>
        </w:rPr>
        <w:t xml:space="preserve">c) </w:t>
      </w:r>
      <w:r>
        <w:rPr>
          <w:rFonts w:hint="eastAsia" w:ascii="Segoe UI" w:hAnsi="Segoe UI" w:cs="Segoe UI"/>
          <w:shd w:val="clear" w:color="auto" w:fill="FFFFFF"/>
        </w:rPr>
        <w:t>大修后</w:t>
      </w:r>
      <w:r>
        <w:rPr>
          <w:rFonts w:hint="eastAsia" w:ascii="宋体" w:hAnsi="宋体"/>
          <w:kern w:val="0"/>
          <w:szCs w:val="21"/>
        </w:rPr>
        <w:t>性能仍不符合G</w:t>
      </w:r>
      <w:r>
        <w:rPr>
          <w:rFonts w:ascii="宋体" w:hAnsi="宋体"/>
          <w:kern w:val="0"/>
          <w:szCs w:val="21"/>
        </w:rPr>
        <w:t>B/T 19155-2017</w:t>
      </w:r>
      <w:r>
        <w:rPr>
          <w:rFonts w:hint="eastAsia" w:ascii="宋体" w:hAnsi="宋体"/>
          <w:kern w:val="0"/>
          <w:szCs w:val="21"/>
        </w:rPr>
        <w:t>中</w:t>
      </w:r>
      <w:r>
        <w:rPr>
          <w:rFonts w:ascii="宋体" w:hAnsi="宋体"/>
          <w:kern w:val="0"/>
          <w:szCs w:val="21"/>
        </w:rPr>
        <w:t>5.3.1 c)</w:t>
      </w:r>
      <w:r>
        <w:rPr>
          <w:rFonts w:hint="eastAsia" w:ascii="宋体" w:hAnsi="宋体"/>
          <w:kern w:val="0"/>
          <w:szCs w:val="21"/>
        </w:rPr>
        <w:t>、5</w:t>
      </w:r>
      <w:r>
        <w:rPr>
          <w:rFonts w:ascii="宋体" w:hAnsi="宋体"/>
          <w:kern w:val="0"/>
          <w:szCs w:val="21"/>
        </w:rPr>
        <w:t>.3.3</w:t>
      </w:r>
      <w:r>
        <w:rPr>
          <w:rFonts w:hint="eastAsia" w:ascii="宋体" w:hAnsi="宋体"/>
          <w:kern w:val="0"/>
          <w:szCs w:val="21"/>
        </w:rPr>
        <w:t>、</w:t>
      </w:r>
      <w:r>
        <w:rPr>
          <w:rFonts w:ascii="宋体" w:hAnsi="宋体"/>
          <w:kern w:val="0"/>
          <w:szCs w:val="21"/>
        </w:rPr>
        <w:t>8.3.1</w:t>
      </w:r>
      <w:r>
        <w:rPr>
          <w:rFonts w:hint="eastAsia" w:ascii="宋体" w:hAnsi="宋体"/>
          <w:kern w:val="0"/>
          <w:szCs w:val="21"/>
        </w:rPr>
        <w:t>或8</w:t>
      </w:r>
      <w:r>
        <w:rPr>
          <w:rFonts w:ascii="宋体" w:hAnsi="宋体"/>
          <w:kern w:val="0"/>
          <w:szCs w:val="21"/>
        </w:rPr>
        <w:t>.4.1.1</w:t>
      </w:r>
      <w:r>
        <w:rPr>
          <w:rFonts w:hint="eastAsia" w:ascii="宋体" w:hAnsi="宋体"/>
          <w:kern w:val="0"/>
          <w:szCs w:val="21"/>
        </w:rPr>
        <w:t>的规定</w:t>
      </w:r>
      <w:r>
        <w:rPr>
          <w:rFonts w:hint="eastAsia" w:ascii="Segoe UI" w:hAnsi="Segoe UI" w:cs="Segoe UI"/>
          <w:shd w:val="clear" w:color="auto" w:fill="FFFFFF"/>
        </w:rPr>
        <w:t>；</w:t>
      </w:r>
    </w:p>
    <w:p w14:paraId="6EA778A1">
      <w:pPr>
        <w:widowControl/>
        <w:adjustRightInd w:val="0"/>
        <w:spacing w:before="156" w:beforeLines="50" w:after="156" w:afterLines="5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.2.2</w:t>
      </w:r>
      <w:r>
        <w:rPr>
          <w:rFonts w:hint="eastAsia" w:ascii="黑体" w:hAnsi="黑体" w:eastAsia="黑体"/>
          <w:kern w:val="0"/>
          <w:szCs w:val="21"/>
        </w:rPr>
        <w:t>提升机机体</w:t>
      </w:r>
    </w:p>
    <w:p w14:paraId="5A8089AB">
      <w:pPr>
        <w:widowControl/>
        <w:adjustRightInd w:val="0"/>
        <w:snapToGrid w:val="0"/>
        <w:spacing w:line="300" w:lineRule="auto"/>
        <w:ind w:firstLine="443"/>
        <w:jc w:val="left"/>
        <w:rPr>
          <w:rFonts w:ascii="宋体" w:hAnsi="宋体"/>
          <w:kern w:val="0"/>
          <w:szCs w:val="21"/>
        </w:rPr>
      </w:pPr>
      <w:r>
        <w:rPr>
          <w:rFonts w:hint="eastAsia" w:ascii="宋体" w:hAnsi="宋体"/>
          <w:kern w:val="0"/>
          <w:szCs w:val="21"/>
        </w:rPr>
        <w:t>提升机机体出现下列情况之一，视为达到报废条件：</w:t>
      </w:r>
    </w:p>
    <w:p w14:paraId="2A88F158">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箱体、箱盖出现破损或裂纹；</w:t>
      </w:r>
    </w:p>
    <w:p w14:paraId="6DDE1B49">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离心限速器的制动摩擦块有开裂、缺损，或由于制动摩擦块严重磨损，提升机在承载极限工作载荷时的无动力下降速度大于其额定速度的1</w:t>
      </w:r>
      <w:r>
        <w:rPr>
          <w:rFonts w:ascii="宋体" w:hAnsi="宋体"/>
          <w:kern w:val="0"/>
          <w:szCs w:val="21"/>
        </w:rPr>
        <w:t>.5</w:t>
      </w:r>
      <w:r>
        <w:rPr>
          <w:rFonts w:hint="eastAsia" w:ascii="宋体" w:hAnsi="宋体"/>
          <w:kern w:val="0"/>
          <w:szCs w:val="21"/>
        </w:rPr>
        <w:t>倍；</w:t>
      </w:r>
    </w:p>
    <w:p w14:paraId="2FC66159">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传动系统的蜗轮副、齿轮副出现影响安全运行的轮齿塑性变形、折断、裂纹或胶合等形式的严重失效。蜗轮</w:t>
      </w:r>
      <w:r>
        <w:rPr>
          <w:rFonts w:ascii="Segoe UI" w:hAnsi="Segoe UI" w:cs="Segoe UI"/>
          <w:shd w:val="clear" w:color="auto" w:fill="FFFFFF"/>
        </w:rPr>
        <w:t>齿面磨损量超过原齿厚的20%</w:t>
      </w:r>
      <w:r>
        <w:rPr>
          <w:rFonts w:hint="eastAsia" w:ascii="Segoe UI" w:hAnsi="Segoe UI" w:cs="Segoe UI"/>
          <w:shd w:val="clear" w:color="auto" w:fill="FFFFFF"/>
        </w:rPr>
        <w:t>。</w:t>
      </w:r>
      <w:r>
        <w:rPr>
          <w:rFonts w:ascii="Segoe UI" w:hAnsi="Segoe UI" w:cs="Segoe UI"/>
          <w:shd w:val="clear" w:color="auto" w:fill="FFFFFF"/>
        </w:rPr>
        <w:t>齿轮齿面</w:t>
      </w:r>
      <w:r>
        <w:rPr>
          <w:rFonts w:hint="eastAsia" w:ascii="Segoe UI" w:hAnsi="Segoe UI" w:cs="Segoe UI"/>
          <w:shd w:val="clear" w:color="auto" w:fill="FFFFFF"/>
        </w:rPr>
        <w:t>的</w:t>
      </w:r>
      <w:r>
        <w:rPr>
          <w:rFonts w:ascii="Segoe UI" w:hAnsi="Segoe UI" w:cs="Segoe UI"/>
          <w:shd w:val="clear" w:color="auto" w:fill="FFFFFF"/>
        </w:rPr>
        <w:t>点蚀损坏</w:t>
      </w:r>
      <w:r>
        <w:rPr>
          <w:rFonts w:hint="eastAsia" w:ascii="Segoe UI" w:hAnsi="Segoe UI" w:cs="Segoe UI"/>
          <w:shd w:val="clear" w:color="auto" w:fill="FFFFFF"/>
        </w:rPr>
        <w:t>面积</w:t>
      </w:r>
      <w:r>
        <w:rPr>
          <w:rFonts w:ascii="Segoe UI" w:hAnsi="Segoe UI" w:cs="Segoe UI"/>
          <w:shd w:val="clear" w:color="auto" w:fill="FFFFFF"/>
        </w:rPr>
        <w:t>达</w:t>
      </w:r>
      <w:r>
        <w:rPr>
          <w:rFonts w:hint="eastAsia" w:ascii="Segoe UI" w:hAnsi="Segoe UI" w:cs="Segoe UI"/>
          <w:shd w:val="clear" w:color="auto" w:fill="FFFFFF"/>
        </w:rPr>
        <w:t>到</w:t>
      </w:r>
      <w:r>
        <w:rPr>
          <w:rFonts w:ascii="Segoe UI" w:hAnsi="Segoe UI" w:cs="Segoe UI"/>
          <w:shd w:val="clear" w:color="auto" w:fill="FFFFFF"/>
        </w:rPr>
        <w:t>啮合面的50%</w:t>
      </w:r>
      <w:r>
        <w:rPr>
          <w:rFonts w:hint="eastAsia" w:ascii="Segoe UI" w:hAnsi="Segoe UI" w:cs="Segoe UI"/>
          <w:shd w:val="clear" w:color="auto" w:fill="FFFFFF"/>
        </w:rPr>
        <w:t>或齿根两侧磨损量之和达到0</w:t>
      </w:r>
      <w:r>
        <w:rPr>
          <w:rFonts w:ascii="Segoe UI" w:hAnsi="Segoe UI" w:cs="Segoe UI"/>
          <w:shd w:val="clear" w:color="auto" w:fill="FFFFFF"/>
        </w:rPr>
        <w:t>.1</w:t>
      </w:r>
      <w:r>
        <w:rPr>
          <w:rFonts w:hint="eastAsia" w:ascii="Segoe UI" w:hAnsi="Segoe UI" w:cs="Segoe UI"/>
          <w:shd w:val="clear" w:color="auto" w:fill="FFFFFF"/>
        </w:rPr>
        <w:t>模数；</w:t>
      </w:r>
    </w:p>
    <w:p w14:paraId="31081330">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驱动盘轮缘有裂纹、缺损，驱动轮绳槽面的磨损凹陷深度达到使用说明书的规定。或驱动轮绳槽面磨损虽未达到使用说明书的规定，但提升机的牵引力不符合G</w:t>
      </w:r>
      <w:r>
        <w:rPr>
          <w:rFonts w:ascii="宋体" w:hAnsi="宋体"/>
          <w:kern w:val="0"/>
          <w:szCs w:val="21"/>
        </w:rPr>
        <w:t>B/T 19155-2017</w:t>
      </w:r>
      <w:r>
        <w:rPr>
          <w:rFonts w:hint="eastAsia" w:ascii="宋体" w:hAnsi="宋体"/>
          <w:kern w:val="0"/>
          <w:szCs w:val="21"/>
        </w:rPr>
        <w:t>中8</w:t>
      </w:r>
      <w:r>
        <w:rPr>
          <w:rFonts w:ascii="宋体" w:hAnsi="宋体"/>
          <w:kern w:val="0"/>
          <w:szCs w:val="21"/>
        </w:rPr>
        <w:t>.4.1.1</w:t>
      </w:r>
      <w:r>
        <w:rPr>
          <w:rFonts w:hint="eastAsia" w:ascii="宋体" w:hAnsi="宋体"/>
          <w:kern w:val="0"/>
          <w:szCs w:val="21"/>
        </w:rPr>
        <w:t>的规定；</w:t>
      </w:r>
    </w:p>
    <w:p w14:paraId="4E641235">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压绳装置压绳轮轮缘破损或由于磨损造成直径减小量达到1</w:t>
      </w:r>
      <w:r>
        <w:rPr>
          <w:rFonts w:ascii="宋体" w:hAnsi="宋体"/>
          <w:kern w:val="0"/>
          <w:szCs w:val="21"/>
        </w:rPr>
        <w:t xml:space="preserve"> mm</w:t>
      </w:r>
      <w:r>
        <w:rPr>
          <w:rFonts w:hint="eastAsia" w:ascii="宋体" w:hAnsi="宋体"/>
          <w:kern w:val="0"/>
          <w:szCs w:val="21"/>
        </w:rPr>
        <w:t>。压绳装置杠杆板产生目测可见的永久变形，导致提升机的牵引力不符合G</w:t>
      </w:r>
      <w:r>
        <w:rPr>
          <w:rFonts w:ascii="宋体" w:hAnsi="宋体"/>
          <w:kern w:val="0"/>
          <w:szCs w:val="21"/>
        </w:rPr>
        <w:t>B/T 19155-2017</w:t>
      </w:r>
      <w:r>
        <w:rPr>
          <w:rFonts w:hint="eastAsia" w:ascii="宋体" w:hAnsi="宋体"/>
          <w:kern w:val="0"/>
          <w:szCs w:val="21"/>
        </w:rPr>
        <w:t>中</w:t>
      </w:r>
      <w:r>
        <w:rPr>
          <w:rFonts w:ascii="宋体" w:hAnsi="宋体"/>
          <w:kern w:val="0"/>
          <w:szCs w:val="21"/>
        </w:rPr>
        <w:t>8.4.1.1</w:t>
      </w:r>
      <w:r>
        <w:rPr>
          <w:rFonts w:hint="eastAsia" w:ascii="宋体" w:hAnsi="宋体"/>
          <w:kern w:val="0"/>
          <w:szCs w:val="21"/>
        </w:rPr>
        <w:t>的规定；</w:t>
      </w:r>
    </w:p>
    <w:p w14:paraId="61D4BF97">
      <w:pPr>
        <w:numPr>
          <w:ilvl w:val="0"/>
          <w:numId w:val="11"/>
        </w:numPr>
        <w:adjustRightInd w:val="0"/>
        <w:snapToGrid w:val="0"/>
        <w:spacing w:line="300" w:lineRule="auto"/>
        <w:rPr>
          <w:rFonts w:ascii="宋体" w:hAnsi="宋体"/>
          <w:kern w:val="0"/>
          <w:szCs w:val="21"/>
        </w:rPr>
      </w:pPr>
      <w:r>
        <w:rPr>
          <w:rFonts w:hint="eastAsia" w:ascii="宋体" w:hAnsi="宋体"/>
          <w:kern w:val="0"/>
          <w:szCs w:val="21"/>
        </w:rPr>
        <w:t>减速箱因铸造缺陷或裂纹原因存在渗漏油现象，不符合G</w:t>
      </w:r>
      <w:r>
        <w:rPr>
          <w:rFonts w:ascii="宋体" w:hAnsi="宋体"/>
          <w:kern w:val="0"/>
          <w:szCs w:val="21"/>
        </w:rPr>
        <w:t>B/T 19155-2017</w:t>
      </w:r>
      <w:r>
        <w:rPr>
          <w:rFonts w:hint="eastAsia" w:ascii="宋体" w:hAnsi="宋体"/>
          <w:kern w:val="0"/>
          <w:szCs w:val="21"/>
        </w:rPr>
        <w:t>中</w:t>
      </w:r>
      <w:r>
        <w:rPr>
          <w:rFonts w:ascii="宋体" w:hAnsi="宋体"/>
          <w:kern w:val="0"/>
          <w:szCs w:val="21"/>
        </w:rPr>
        <w:t>5.3.1</w:t>
      </w:r>
      <w:r>
        <w:rPr>
          <w:rFonts w:hint="eastAsia" w:ascii="宋体" w:hAnsi="宋体"/>
          <w:kern w:val="0"/>
          <w:szCs w:val="21"/>
        </w:rPr>
        <w:t>c</w:t>
      </w:r>
      <w:r>
        <w:rPr>
          <w:rFonts w:ascii="宋体" w:hAnsi="宋体"/>
          <w:kern w:val="0"/>
          <w:szCs w:val="21"/>
        </w:rPr>
        <w:t>)</w:t>
      </w:r>
      <w:r>
        <w:rPr>
          <w:rFonts w:hint="eastAsia" w:ascii="宋体" w:hAnsi="宋体"/>
          <w:kern w:val="0"/>
          <w:szCs w:val="21"/>
        </w:rPr>
        <w:t>的规定；</w:t>
      </w:r>
    </w:p>
    <w:p w14:paraId="06CEE4BB">
      <w:pPr>
        <w:numPr>
          <w:ilvl w:val="0"/>
          <w:numId w:val="11"/>
        </w:numPr>
        <w:adjustRightInd w:val="0"/>
        <w:snapToGrid w:val="0"/>
        <w:spacing w:line="300" w:lineRule="auto"/>
        <w:ind w:left="799" w:hanging="357"/>
        <w:rPr>
          <w:rFonts w:ascii="宋体" w:hAnsi="宋体"/>
          <w:kern w:val="0"/>
          <w:szCs w:val="21"/>
        </w:rPr>
      </w:pPr>
      <w:r>
        <w:rPr>
          <w:rFonts w:hint="eastAsia" w:ascii="宋体" w:hAnsi="宋体"/>
          <w:kern w:val="0"/>
          <w:szCs w:val="21"/>
        </w:rPr>
        <w:t>超载检测装置（如有）有磨损或变形，导致不能发出正确信号，经修复后提升机运行时仍不符合G</w:t>
      </w:r>
      <w:r>
        <w:rPr>
          <w:rFonts w:ascii="宋体" w:hAnsi="宋体"/>
          <w:kern w:val="0"/>
          <w:szCs w:val="21"/>
        </w:rPr>
        <w:t>B/T 19155-2017</w:t>
      </w:r>
      <w:r>
        <w:rPr>
          <w:rFonts w:hint="eastAsia" w:ascii="宋体" w:hAnsi="宋体"/>
          <w:kern w:val="0"/>
          <w:szCs w:val="21"/>
        </w:rPr>
        <w:t>中8</w:t>
      </w:r>
      <w:r>
        <w:rPr>
          <w:rFonts w:ascii="宋体" w:hAnsi="宋体"/>
          <w:kern w:val="0"/>
          <w:szCs w:val="21"/>
        </w:rPr>
        <w:t>.3.5.3</w:t>
      </w:r>
      <w:r>
        <w:rPr>
          <w:rFonts w:hint="eastAsia" w:ascii="宋体" w:hAnsi="宋体"/>
          <w:kern w:val="0"/>
          <w:szCs w:val="21"/>
        </w:rPr>
        <w:t>或8</w:t>
      </w:r>
      <w:r>
        <w:rPr>
          <w:rFonts w:ascii="宋体" w:hAnsi="宋体"/>
          <w:kern w:val="0"/>
          <w:szCs w:val="21"/>
        </w:rPr>
        <w:t>.3.5.4</w:t>
      </w:r>
      <w:r>
        <w:rPr>
          <w:rFonts w:hint="eastAsia" w:ascii="宋体" w:hAnsi="宋体"/>
          <w:kern w:val="0"/>
          <w:szCs w:val="21"/>
        </w:rPr>
        <w:t>的规定；</w:t>
      </w:r>
    </w:p>
    <w:p w14:paraId="4B15C976">
      <w:pPr>
        <w:widowControl/>
        <w:adjustRightInd w:val="0"/>
        <w:spacing w:before="156" w:beforeLines="50" w:after="156" w:afterLines="50"/>
        <w:jc w:val="left"/>
        <w:rPr>
          <w:rFonts w:ascii="黑体" w:hAnsi="黑体" w:eastAsia="黑体"/>
          <w:kern w:val="0"/>
          <w:szCs w:val="21"/>
        </w:rPr>
      </w:pPr>
      <w:r>
        <w:rPr>
          <w:rFonts w:ascii="黑体" w:hAnsi="黑体" w:eastAsia="黑体"/>
          <w:kern w:val="0"/>
          <w:szCs w:val="21"/>
        </w:rPr>
        <w:t>4.2.3</w:t>
      </w:r>
      <w:r>
        <w:rPr>
          <w:rFonts w:hint="eastAsia" w:ascii="黑体" w:hAnsi="黑体" w:eastAsia="黑体"/>
          <w:kern w:val="0"/>
          <w:szCs w:val="21"/>
        </w:rPr>
        <w:t>制动电动机</w:t>
      </w:r>
    </w:p>
    <w:p w14:paraId="420FD945">
      <w:pPr>
        <w:widowControl/>
        <w:adjustRightInd w:val="0"/>
        <w:snapToGrid w:val="0"/>
        <w:spacing w:line="300" w:lineRule="auto"/>
        <w:ind w:firstLine="424" w:firstLineChars="202"/>
        <w:jc w:val="left"/>
        <w:rPr>
          <w:rFonts w:ascii="宋体" w:hAnsi="宋体"/>
          <w:kern w:val="0"/>
          <w:szCs w:val="21"/>
        </w:rPr>
      </w:pPr>
      <w:r>
        <w:rPr>
          <w:rFonts w:hint="eastAsia" w:ascii="宋体" w:hAnsi="宋体"/>
          <w:kern w:val="0"/>
          <w:szCs w:val="21"/>
        </w:rPr>
        <w:t>提升机的制动电动机出现下列情况之一，视为达到报废条件：</w:t>
      </w:r>
    </w:p>
    <w:p w14:paraId="70F2D187">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电动机壳的外壳或机座有影响安全的破裂，防护等级不符合I</w:t>
      </w:r>
      <w:r>
        <w:rPr>
          <w:rFonts w:ascii="宋体" w:hAnsi="宋体"/>
          <w:kern w:val="0"/>
          <w:szCs w:val="21"/>
        </w:rPr>
        <w:t>P54</w:t>
      </w:r>
      <w:r>
        <w:rPr>
          <w:rFonts w:hint="eastAsia" w:ascii="宋体" w:hAnsi="宋体"/>
          <w:kern w:val="0"/>
          <w:szCs w:val="21"/>
        </w:rPr>
        <w:t>要求；</w:t>
      </w:r>
    </w:p>
    <w:p w14:paraId="46997701">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电动机磨损或变形，造成定子与转子发生碰擦；</w:t>
      </w:r>
    </w:p>
    <w:p w14:paraId="625569E9">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电动机轴承出现碎裂或影响运行的磨损；</w:t>
      </w:r>
    </w:p>
    <w:p w14:paraId="140D9451">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电动机绕组断路、短路或冷态时绝缘电阻小于</w:t>
      </w:r>
      <w:r>
        <w:rPr>
          <w:rFonts w:ascii="宋体" w:hAnsi="宋体"/>
          <w:kern w:val="0"/>
          <w:szCs w:val="21"/>
        </w:rPr>
        <w:t xml:space="preserve">1 </w:t>
      </w:r>
      <w:r>
        <w:rPr>
          <w:kern w:val="0"/>
          <w:szCs w:val="21"/>
        </w:rPr>
        <w:t>MΩ</w:t>
      </w:r>
      <w:r>
        <w:rPr>
          <w:rFonts w:hint="eastAsia" w:ascii="宋体" w:hAnsi="宋体"/>
          <w:kern w:val="0"/>
          <w:szCs w:val="21"/>
        </w:rPr>
        <w:t>；</w:t>
      </w:r>
    </w:p>
    <w:p w14:paraId="60A9608A">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制动器的电磁线圈断路、短路或冷态时绝缘电阻小于</w:t>
      </w:r>
      <w:r>
        <w:rPr>
          <w:rFonts w:ascii="宋体" w:hAnsi="宋体"/>
          <w:kern w:val="0"/>
          <w:szCs w:val="21"/>
        </w:rPr>
        <w:t xml:space="preserve">1 </w:t>
      </w:r>
      <w:r>
        <w:rPr>
          <w:kern w:val="0"/>
          <w:szCs w:val="21"/>
        </w:rPr>
        <w:t>MΩ</w:t>
      </w:r>
      <w:r>
        <w:rPr>
          <w:rFonts w:hint="eastAsia"/>
          <w:kern w:val="0"/>
          <w:szCs w:val="21"/>
        </w:rPr>
        <w:t>；</w:t>
      </w:r>
    </w:p>
    <w:p w14:paraId="62230A49">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制动器的摩擦盘出现裂纹、碎裂。摩擦盘的磨损量达到2</w:t>
      </w:r>
      <w:r>
        <w:rPr>
          <w:rFonts w:ascii="宋体" w:hAnsi="宋体"/>
          <w:kern w:val="0"/>
          <w:szCs w:val="21"/>
        </w:rPr>
        <w:t>.5 mm</w:t>
      </w:r>
      <w:r>
        <w:rPr>
          <w:rFonts w:hint="eastAsia" w:ascii="宋体" w:hAnsi="宋体"/>
          <w:kern w:val="0"/>
          <w:szCs w:val="21"/>
        </w:rPr>
        <w:t>或制动弹簧压力减小，导致提升机制动时不符合G</w:t>
      </w:r>
      <w:r>
        <w:rPr>
          <w:rFonts w:ascii="宋体" w:hAnsi="宋体"/>
          <w:kern w:val="0"/>
          <w:szCs w:val="21"/>
        </w:rPr>
        <w:t>B/T 19155-2017</w:t>
      </w:r>
      <w:r>
        <w:rPr>
          <w:rFonts w:hint="eastAsia" w:ascii="宋体" w:hAnsi="宋体"/>
          <w:kern w:val="0"/>
          <w:szCs w:val="21"/>
        </w:rPr>
        <w:t>中</w:t>
      </w:r>
      <w:r>
        <w:rPr>
          <w:rFonts w:ascii="宋体" w:hAnsi="宋体"/>
          <w:kern w:val="0"/>
          <w:szCs w:val="21"/>
        </w:rPr>
        <w:t>8.1.6.3</w:t>
      </w:r>
      <w:r>
        <w:rPr>
          <w:rFonts w:hint="eastAsia" w:ascii="宋体" w:hAnsi="宋体"/>
          <w:kern w:val="0"/>
          <w:szCs w:val="21"/>
        </w:rPr>
        <w:t>、8</w:t>
      </w:r>
      <w:r>
        <w:rPr>
          <w:rFonts w:ascii="宋体" w:hAnsi="宋体"/>
          <w:kern w:val="0"/>
          <w:szCs w:val="21"/>
        </w:rPr>
        <w:t>.1.6.4</w:t>
      </w:r>
      <w:r>
        <w:rPr>
          <w:rFonts w:hint="eastAsia" w:ascii="宋体" w:hAnsi="宋体"/>
          <w:kern w:val="0"/>
          <w:szCs w:val="21"/>
        </w:rPr>
        <w:t>的规定；</w:t>
      </w:r>
    </w:p>
    <w:p w14:paraId="12292DCC">
      <w:pPr>
        <w:numPr>
          <w:ilvl w:val="0"/>
          <w:numId w:val="12"/>
        </w:numPr>
        <w:adjustRightInd w:val="0"/>
        <w:snapToGrid w:val="0"/>
        <w:spacing w:line="300" w:lineRule="auto"/>
        <w:ind w:left="825" w:leftChars="203" w:hanging="399" w:hangingChars="190"/>
        <w:rPr>
          <w:rFonts w:ascii="宋体" w:hAnsi="宋体"/>
          <w:kern w:val="0"/>
          <w:szCs w:val="21"/>
        </w:rPr>
      </w:pPr>
      <w:r>
        <w:rPr>
          <w:rFonts w:hint="eastAsia" w:ascii="宋体" w:hAnsi="宋体"/>
          <w:kern w:val="0"/>
          <w:szCs w:val="21"/>
        </w:rPr>
        <w:t>制动器的整流模块短路或断路导致制动器无响应动作。整流模块老化，制动器吸合或释放响应时间异常，导致提升机启动缓慢或制动时不符合G</w:t>
      </w:r>
      <w:r>
        <w:rPr>
          <w:rFonts w:ascii="宋体" w:hAnsi="宋体"/>
          <w:kern w:val="0"/>
          <w:szCs w:val="21"/>
        </w:rPr>
        <w:t>B/T 19155-2017</w:t>
      </w:r>
      <w:r>
        <w:rPr>
          <w:rFonts w:hint="eastAsia" w:ascii="宋体" w:hAnsi="宋体"/>
          <w:kern w:val="0"/>
          <w:szCs w:val="21"/>
        </w:rPr>
        <w:t>中</w:t>
      </w:r>
      <w:r>
        <w:rPr>
          <w:rFonts w:ascii="宋体" w:hAnsi="宋体"/>
          <w:kern w:val="0"/>
          <w:szCs w:val="21"/>
        </w:rPr>
        <w:t>8.1.6.3</w:t>
      </w:r>
      <w:r>
        <w:rPr>
          <w:rFonts w:hint="eastAsia" w:ascii="宋体" w:hAnsi="宋体"/>
          <w:kern w:val="0"/>
          <w:szCs w:val="21"/>
        </w:rPr>
        <w:t>的规定。</w:t>
      </w:r>
    </w:p>
    <w:p w14:paraId="69ED0EA1">
      <w:pPr>
        <w:widowControl/>
        <w:adjustRightInd w:val="0"/>
        <w:snapToGrid w:val="0"/>
        <w:spacing w:before="156" w:beforeLines="50" w:after="156" w:afterLines="5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.3 </w:t>
      </w:r>
      <w:r>
        <w:rPr>
          <w:rFonts w:hint="eastAsia" w:ascii="黑体" w:hAnsi="黑体" w:eastAsia="黑体"/>
          <w:kern w:val="0"/>
          <w:szCs w:val="21"/>
        </w:rPr>
        <w:t>安全锁</w:t>
      </w:r>
    </w:p>
    <w:p w14:paraId="49C39360">
      <w:pPr>
        <w:widowControl/>
        <w:adjustRightInd w:val="0"/>
        <w:snapToGrid w:val="0"/>
        <w:spacing w:line="300" w:lineRule="auto"/>
        <w:ind w:firstLine="283" w:firstLineChars="135"/>
        <w:jc w:val="left"/>
        <w:rPr>
          <w:rFonts w:ascii="宋体" w:hAnsi="宋体"/>
          <w:kern w:val="0"/>
          <w:szCs w:val="21"/>
        </w:rPr>
      </w:pPr>
      <w:r>
        <w:rPr>
          <w:rFonts w:hint="eastAsia" w:ascii="宋体" w:hAnsi="宋体"/>
          <w:kern w:val="0"/>
          <w:szCs w:val="21"/>
        </w:rPr>
        <w:t xml:space="preserve"> 安全锁出现下列情况之一，视为达到报废条件：</w:t>
      </w:r>
    </w:p>
    <w:p w14:paraId="48D1DFA5">
      <w:pPr>
        <w:numPr>
          <w:ilvl w:val="0"/>
          <w:numId w:val="13"/>
        </w:numPr>
        <w:adjustRightInd w:val="0"/>
        <w:snapToGrid w:val="0"/>
        <w:spacing w:line="300" w:lineRule="auto"/>
        <w:ind w:left="799" w:hanging="357"/>
        <w:rPr>
          <w:rFonts w:ascii="宋体" w:hAnsi="宋体"/>
          <w:kern w:val="0"/>
          <w:szCs w:val="21"/>
        </w:rPr>
      </w:pPr>
      <w:r>
        <w:rPr>
          <w:rFonts w:hint="eastAsia" w:ascii="宋体" w:hAnsi="宋体"/>
          <w:kern w:val="0"/>
          <w:szCs w:val="21"/>
        </w:rPr>
        <w:t>年度标定不合格；</w:t>
      </w:r>
      <w:r>
        <w:rPr>
          <w:rFonts w:hint="eastAsia" w:ascii="Segoe UI" w:hAnsi="Segoe UI" w:cs="Segoe UI"/>
          <w:shd w:val="clear" w:color="auto" w:fill="FFFFFF"/>
        </w:rPr>
        <w:t>标志不清或丢失，无法判定安全锁的生产日期和性能，重新标定不合格的。</w:t>
      </w:r>
    </w:p>
    <w:p w14:paraId="5A791770">
      <w:pPr>
        <w:numPr>
          <w:ilvl w:val="0"/>
          <w:numId w:val="13"/>
        </w:numPr>
        <w:adjustRightInd w:val="0"/>
        <w:snapToGrid w:val="0"/>
        <w:spacing w:line="300" w:lineRule="auto"/>
        <w:rPr>
          <w:rFonts w:ascii="宋体" w:hAnsi="宋体"/>
          <w:kern w:val="0"/>
          <w:szCs w:val="21"/>
        </w:rPr>
      </w:pPr>
      <w:r>
        <w:rPr>
          <w:rFonts w:hint="eastAsia" w:ascii="宋体" w:hAnsi="宋体"/>
          <w:kern w:val="0"/>
          <w:szCs w:val="21"/>
        </w:rPr>
        <w:t>锁绳绳夹严重磨损，达到使用说明书规定的允许磨损量。锁绳性能不符合G</w:t>
      </w:r>
      <w:r>
        <w:rPr>
          <w:rFonts w:ascii="宋体" w:hAnsi="宋体"/>
          <w:kern w:val="0"/>
          <w:szCs w:val="21"/>
        </w:rPr>
        <w:t>B/T 19155-2017</w:t>
      </w:r>
      <w:r>
        <w:rPr>
          <w:rFonts w:hint="eastAsia" w:ascii="宋体" w:hAnsi="宋体"/>
          <w:kern w:val="0"/>
          <w:szCs w:val="21"/>
        </w:rPr>
        <w:t>中</w:t>
      </w:r>
      <w:r>
        <w:rPr>
          <w:rFonts w:ascii="宋体" w:hAnsi="宋体"/>
          <w:kern w:val="0"/>
          <w:szCs w:val="21"/>
        </w:rPr>
        <w:t>8.8.2</w:t>
      </w:r>
      <w:r>
        <w:rPr>
          <w:rFonts w:hint="eastAsia" w:ascii="宋体" w:hAnsi="宋体"/>
          <w:kern w:val="0"/>
          <w:szCs w:val="21"/>
        </w:rPr>
        <w:t>的规定；</w:t>
      </w:r>
    </w:p>
    <w:p w14:paraId="632569B0">
      <w:pPr>
        <w:numPr>
          <w:ilvl w:val="0"/>
          <w:numId w:val="13"/>
        </w:numPr>
        <w:adjustRightInd w:val="0"/>
        <w:snapToGrid w:val="0"/>
        <w:spacing w:line="300" w:lineRule="auto"/>
        <w:ind w:left="799" w:hanging="357"/>
        <w:rPr>
          <w:rFonts w:ascii="宋体" w:hAnsi="宋体"/>
          <w:kern w:val="0"/>
          <w:szCs w:val="21"/>
        </w:rPr>
      </w:pPr>
      <w:r>
        <w:rPr>
          <w:rFonts w:hint="eastAsia" w:ascii="宋体" w:hAnsi="宋体"/>
          <w:kern w:val="0"/>
          <w:szCs w:val="21"/>
        </w:rPr>
        <w:t>外壳变形或锈蚀，导致运动部件存在卡阻现象，经修复仍无法消除的。</w:t>
      </w:r>
    </w:p>
    <w:p w14:paraId="2A99C3E9">
      <w:pPr>
        <w:widowControl/>
        <w:adjustRightInd w:val="0"/>
        <w:snapToGrid w:val="0"/>
        <w:spacing w:before="156" w:beforeLines="50" w:after="156" w:afterLines="50"/>
        <w:jc w:val="left"/>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.4 </w:t>
      </w:r>
      <w:r>
        <w:rPr>
          <w:rFonts w:hint="eastAsia" w:ascii="黑体" w:hAnsi="黑体" w:eastAsia="黑体"/>
          <w:kern w:val="0"/>
          <w:szCs w:val="21"/>
        </w:rPr>
        <w:t>钢丝绳及固定装置</w:t>
      </w:r>
      <w:r>
        <w:rPr>
          <w:rFonts w:ascii="黑体" w:hAnsi="黑体" w:eastAsia="黑体"/>
          <w:kern w:val="0"/>
          <w:szCs w:val="21"/>
        </w:rPr>
        <w:t xml:space="preserve">    </w:t>
      </w:r>
    </w:p>
    <w:p w14:paraId="516DC02B">
      <w:pPr>
        <w:widowControl/>
        <w:adjustRightInd w:val="0"/>
        <w:snapToGrid w:val="0"/>
        <w:spacing w:before="156" w:beforeLines="50" w:after="156" w:afterLines="50" w:line="300" w:lineRule="auto"/>
        <w:jc w:val="left"/>
        <w:rPr>
          <w:rFonts w:ascii="宋体" w:hAnsi="宋体"/>
          <w:kern w:val="0"/>
          <w:szCs w:val="21"/>
        </w:rPr>
      </w:pPr>
      <w:r>
        <w:rPr>
          <w:rFonts w:hint="eastAsia" w:ascii="黑体" w:hAnsi="黑体" w:eastAsia="黑体"/>
          <w:kern w:val="0"/>
          <w:szCs w:val="21"/>
        </w:rPr>
        <w:t>4</w:t>
      </w:r>
      <w:r>
        <w:rPr>
          <w:rFonts w:ascii="黑体" w:hAnsi="黑体" w:eastAsia="黑体"/>
          <w:kern w:val="0"/>
          <w:szCs w:val="21"/>
        </w:rPr>
        <w:t>.4.1</w:t>
      </w:r>
      <w:r>
        <w:rPr>
          <w:rFonts w:ascii="宋体" w:hAnsi="宋体"/>
          <w:kern w:val="0"/>
          <w:szCs w:val="21"/>
        </w:rPr>
        <w:t xml:space="preserve"> </w:t>
      </w:r>
      <w:r>
        <w:rPr>
          <w:rFonts w:hint="eastAsia" w:ascii="黑体" w:hAnsi="黑体" w:eastAsia="黑体"/>
          <w:kern w:val="0"/>
          <w:szCs w:val="21"/>
        </w:rPr>
        <w:t>钢丝绳</w:t>
      </w:r>
    </w:p>
    <w:p w14:paraId="5C59474B">
      <w:pPr>
        <w:widowControl/>
        <w:adjustRightInd w:val="0"/>
        <w:snapToGrid w:val="0"/>
        <w:spacing w:line="300" w:lineRule="auto"/>
        <w:ind w:firstLine="420" w:firstLineChars="200"/>
        <w:jc w:val="left"/>
        <w:rPr>
          <w:rFonts w:ascii="宋体" w:hAnsi="宋体"/>
          <w:kern w:val="0"/>
          <w:szCs w:val="21"/>
        </w:rPr>
      </w:pPr>
      <w:r>
        <w:rPr>
          <w:rFonts w:hint="eastAsia" w:ascii="宋体" w:hAnsi="宋体"/>
          <w:kern w:val="0"/>
          <w:szCs w:val="21"/>
        </w:rPr>
        <w:t>工作钢丝绳、安全钢丝绳应按整个长度进行检查。当钢丝绳出现下列情况之一时，视为达到报废条件：</w:t>
      </w:r>
    </w:p>
    <w:p w14:paraId="29D19DE7">
      <w:pPr>
        <w:adjustRightInd w:val="0"/>
        <w:snapToGrid w:val="0"/>
        <w:spacing w:after="156" w:afterLines="50" w:line="300" w:lineRule="auto"/>
        <w:ind w:left="425"/>
        <w:rPr>
          <w:rFonts w:ascii="宋体" w:hAnsi="宋体"/>
          <w:kern w:val="0"/>
          <w:szCs w:val="21"/>
        </w:rPr>
      </w:pPr>
      <w:r>
        <w:rPr>
          <w:rFonts w:ascii="宋体" w:hAnsi="宋体"/>
          <w:kern w:val="0"/>
          <w:szCs w:val="21"/>
        </w:rPr>
        <w:t xml:space="preserve">a) </w:t>
      </w:r>
      <w:r>
        <w:rPr>
          <w:rFonts w:hint="eastAsia" w:ascii="宋体" w:hAnsi="宋体"/>
          <w:kern w:val="0"/>
          <w:szCs w:val="21"/>
        </w:rPr>
        <w:t>可见断丝：钢丝绳外层股任何位置可见断丝数量达到表1的规定；</w:t>
      </w:r>
    </w:p>
    <w:p w14:paraId="701271D6">
      <w:pPr>
        <w:adjustRightInd w:val="0"/>
        <w:spacing w:after="156" w:afterLines="50"/>
        <w:ind w:leftChars="-382" w:hanging="802" w:hangingChars="382"/>
        <w:jc w:val="center"/>
        <w:rPr>
          <w:rFonts w:ascii="黑体" w:hAnsi="黑体" w:eastAsia="黑体"/>
          <w:kern w:val="0"/>
          <w:szCs w:val="21"/>
        </w:rPr>
      </w:pPr>
      <w:r>
        <w:rPr>
          <w:rFonts w:hint="eastAsia" w:ascii="黑体" w:hAnsi="黑体" w:eastAsia="黑体"/>
          <w:kern w:val="0"/>
          <w:szCs w:val="21"/>
        </w:rPr>
        <w:t>表1：允许最多可见断丝数</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1"/>
        <w:gridCol w:w="2558"/>
        <w:gridCol w:w="3700"/>
      </w:tblGrid>
      <w:tr w14:paraId="7B05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121" w:type="dxa"/>
            <w:vMerge w:val="restart"/>
            <w:tcBorders>
              <w:top w:val="single" w:color="auto" w:sz="6" w:space="0"/>
              <w:left w:val="single" w:color="auto" w:sz="6" w:space="0"/>
              <w:bottom w:val="single" w:color="auto" w:sz="6" w:space="0"/>
              <w:right w:val="single" w:color="auto" w:sz="6" w:space="0"/>
            </w:tcBorders>
            <w:vAlign w:val="center"/>
          </w:tcPr>
          <w:p w14:paraId="26F72DEF">
            <w:pPr>
              <w:adjustRightInd w:val="0"/>
              <w:snapToGrid w:val="0"/>
              <w:ind w:leftChars="-50" w:hanging="90" w:hangingChars="50"/>
              <w:jc w:val="center"/>
              <w:rPr>
                <w:rFonts w:hint="eastAsia" w:ascii="宋体" w:hAnsi="宋体" w:eastAsia="宋体" w:cs="宋体"/>
                <w:kern w:val="0"/>
                <w:sz w:val="18"/>
                <w:szCs w:val="18"/>
              </w:rPr>
            </w:pPr>
            <w:r>
              <w:rPr>
                <w:rFonts w:hint="eastAsia" w:ascii="宋体" w:hAnsi="宋体" w:eastAsia="宋体" w:cs="宋体"/>
                <w:kern w:val="0"/>
                <w:sz w:val="18"/>
                <w:szCs w:val="18"/>
              </w:rPr>
              <w:t>外层股中承载钢丝的总数</w:t>
            </w:r>
          </w:p>
          <w:p w14:paraId="0F8E4C3E">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n</w:t>
            </w:r>
          </w:p>
        </w:tc>
        <w:tc>
          <w:tcPr>
            <w:tcW w:w="6258" w:type="dxa"/>
            <w:gridSpan w:val="2"/>
            <w:tcBorders>
              <w:top w:val="single" w:color="auto" w:sz="6" w:space="0"/>
              <w:left w:val="single" w:color="auto" w:sz="6" w:space="0"/>
              <w:bottom w:val="single" w:color="auto" w:sz="6" w:space="0"/>
              <w:right w:val="single" w:color="auto" w:sz="6" w:space="0"/>
            </w:tcBorders>
            <w:vAlign w:val="center"/>
          </w:tcPr>
          <w:p w14:paraId="38819E78">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可见外部断丝数量</w:t>
            </w:r>
          </w:p>
        </w:tc>
      </w:tr>
      <w:tr w14:paraId="56A0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121" w:type="dxa"/>
            <w:vMerge w:val="continue"/>
            <w:tcBorders>
              <w:top w:val="single" w:color="auto" w:sz="6" w:space="0"/>
              <w:left w:val="single" w:color="auto" w:sz="6" w:space="0"/>
              <w:bottom w:val="single" w:color="auto" w:sz="6" w:space="0"/>
              <w:right w:val="single" w:color="auto" w:sz="6" w:space="0"/>
            </w:tcBorders>
            <w:vAlign w:val="center"/>
          </w:tcPr>
          <w:p w14:paraId="65E3E5B9">
            <w:pPr>
              <w:adjustRightInd w:val="0"/>
              <w:snapToGrid w:val="0"/>
              <w:jc w:val="center"/>
              <w:rPr>
                <w:rFonts w:hint="eastAsia" w:ascii="宋体" w:hAnsi="宋体" w:eastAsia="宋体" w:cs="宋体"/>
                <w:kern w:val="0"/>
                <w:sz w:val="18"/>
                <w:szCs w:val="18"/>
              </w:rPr>
            </w:pPr>
          </w:p>
        </w:tc>
        <w:tc>
          <w:tcPr>
            <w:tcW w:w="2558" w:type="dxa"/>
            <w:tcBorders>
              <w:top w:val="single" w:color="auto" w:sz="6" w:space="0"/>
              <w:left w:val="single" w:color="auto" w:sz="6" w:space="0"/>
              <w:bottom w:val="single" w:color="auto" w:sz="6" w:space="0"/>
              <w:right w:val="single" w:color="auto" w:sz="6" w:space="0"/>
            </w:tcBorders>
            <w:vAlign w:val="center"/>
          </w:tcPr>
          <w:p w14:paraId="5C0CE4D7">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6d长度范围内</w:t>
            </w:r>
          </w:p>
        </w:tc>
        <w:tc>
          <w:tcPr>
            <w:tcW w:w="3700" w:type="dxa"/>
            <w:tcBorders>
              <w:top w:val="single" w:color="auto" w:sz="6" w:space="0"/>
              <w:left w:val="single" w:color="auto" w:sz="6" w:space="0"/>
              <w:bottom w:val="single" w:color="auto" w:sz="6" w:space="0"/>
              <w:right w:val="single" w:color="auto" w:sz="6" w:space="0"/>
            </w:tcBorders>
            <w:vAlign w:val="center"/>
          </w:tcPr>
          <w:p w14:paraId="1AF4C3A5">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30d长度范围内</w:t>
            </w:r>
          </w:p>
        </w:tc>
      </w:tr>
      <w:tr w14:paraId="20FA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121" w:type="dxa"/>
            <w:tcBorders>
              <w:top w:val="single" w:color="auto" w:sz="6" w:space="0"/>
              <w:left w:val="single" w:color="auto" w:sz="6" w:space="0"/>
              <w:bottom w:val="single" w:color="auto" w:sz="6" w:space="0"/>
              <w:right w:val="single" w:color="auto" w:sz="6" w:space="0"/>
            </w:tcBorders>
            <w:vAlign w:val="center"/>
          </w:tcPr>
          <w:p w14:paraId="5B3F2EE5">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76 ≤ n ≤ 100</w:t>
            </w:r>
          </w:p>
        </w:tc>
        <w:tc>
          <w:tcPr>
            <w:tcW w:w="2558" w:type="dxa"/>
            <w:tcBorders>
              <w:top w:val="single" w:color="auto" w:sz="6" w:space="0"/>
              <w:left w:val="single" w:color="auto" w:sz="6" w:space="0"/>
              <w:bottom w:val="single" w:color="auto" w:sz="6" w:space="0"/>
              <w:right w:val="single" w:color="auto" w:sz="6" w:space="0"/>
            </w:tcBorders>
            <w:vAlign w:val="center"/>
          </w:tcPr>
          <w:p w14:paraId="5F5B2C0F">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3700" w:type="dxa"/>
            <w:tcBorders>
              <w:top w:val="single" w:color="auto" w:sz="6" w:space="0"/>
              <w:left w:val="single" w:color="auto" w:sz="6" w:space="0"/>
              <w:bottom w:val="single" w:color="auto" w:sz="6" w:space="0"/>
              <w:right w:val="single" w:color="auto" w:sz="6" w:space="0"/>
            </w:tcBorders>
            <w:vAlign w:val="center"/>
          </w:tcPr>
          <w:p w14:paraId="5861FB9D">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r>
      <w:tr w14:paraId="3E80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121" w:type="dxa"/>
            <w:tcBorders>
              <w:top w:val="single" w:color="auto" w:sz="6" w:space="0"/>
              <w:left w:val="single" w:color="auto" w:sz="6" w:space="0"/>
              <w:bottom w:val="single" w:color="auto" w:sz="6" w:space="0"/>
              <w:right w:val="single" w:color="auto" w:sz="6" w:space="0"/>
            </w:tcBorders>
            <w:vAlign w:val="center"/>
          </w:tcPr>
          <w:p w14:paraId="05BC7E64">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n ≥ 101</w:t>
            </w:r>
          </w:p>
        </w:tc>
        <w:tc>
          <w:tcPr>
            <w:tcW w:w="2558" w:type="dxa"/>
            <w:tcBorders>
              <w:top w:val="single" w:color="auto" w:sz="6" w:space="0"/>
              <w:left w:val="single" w:color="auto" w:sz="6" w:space="0"/>
              <w:bottom w:val="single" w:color="auto" w:sz="6" w:space="0"/>
              <w:right w:val="single" w:color="auto" w:sz="6" w:space="0"/>
            </w:tcBorders>
            <w:vAlign w:val="center"/>
          </w:tcPr>
          <w:p w14:paraId="25FF5308">
            <w:pPr>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3700" w:type="dxa"/>
            <w:tcBorders>
              <w:top w:val="single" w:color="auto" w:sz="6" w:space="0"/>
              <w:left w:val="single" w:color="auto" w:sz="6" w:space="0"/>
              <w:bottom w:val="single" w:color="auto" w:sz="6" w:space="0"/>
              <w:right w:val="single" w:color="auto" w:sz="6" w:space="0"/>
            </w:tcBorders>
            <w:vAlign w:val="center"/>
          </w:tcPr>
          <w:p w14:paraId="3DE8DEB8">
            <w:pPr>
              <w:adjustRightInd w:val="0"/>
              <w:snapToGrid w:val="0"/>
              <w:jc w:val="center"/>
              <w:rPr>
                <w:rFonts w:hint="eastAsia" w:ascii="宋体" w:hAnsi="宋体" w:eastAsia="宋体" w:cs="宋体"/>
                <w:kern w:val="0"/>
                <w:sz w:val="18"/>
                <w:szCs w:val="18"/>
                <w14:textFill>
                  <w14:gradFill>
                    <w14:gsLst>
                      <w14:gs w14:pos="51300">
                        <w14:srgbClr w14:val="FE5F4A"/>
                      </w14:gs>
                      <w14:gs w14:pos="0">
                        <w14:srgbClr w14:val="DF0303"/>
                      </w14:gs>
                      <w14:gs w14:pos="100000">
                        <w14:srgbClr w14:val="FEA06E"/>
                      </w14:gs>
                    </w14:gsLst>
                    <w14:lin w14:ang="5400000" w14:scaled="1"/>
                  </w14:gradFill>
                </w14:textFill>
              </w:rPr>
            </w:pPr>
            <w:r>
              <w:rPr>
                <w:rFonts w:hint="eastAsia" w:ascii="宋体" w:hAnsi="宋体" w:eastAsia="宋体" w:cs="宋体"/>
                <w:kern w:val="0"/>
                <w:sz w:val="18"/>
                <w:szCs w:val="18"/>
              </w:rPr>
              <w:t>10</w:t>
            </w:r>
          </w:p>
        </w:tc>
      </w:tr>
      <w:tr w14:paraId="229E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9379" w:type="dxa"/>
            <w:gridSpan w:val="3"/>
            <w:tcBorders>
              <w:top w:val="single" w:color="auto" w:sz="6" w:space="0"/>
              <w:left w:val="single" w:color="auto" w:sz="6" w:space="0"/>
              <w:bottom w:val="single" w:color="auto" w:sz="6" w:space="0"/>
              <w:right w:val="single" w:color="auto" w:sz="6" w:space="0"/>
            </w:tcBorders>
            <w:vAlign w:val="center"/>
          </w:tcPr>
          <w:p w14:paraId="01AE8253">
            <w:pPr>
              <w:adjustRightInd w:val="0"/>
              <w:snapToGrid w:val="0"/>
              <w:ind w:left="-2" w:leftChars="-1" w:firstLine="1"/>
              <w:jc w:val="both"/>
              <w:rPr>
                <w:rFonts w:hint="eastAsia" w:ascii="宋体" w:hAnsi="宋体" w:eastAsia="宋体" w:cs="宋体"/>
                <w:kern w:val="0"/>
                <w:sz w:val="18"/>
                <w:szCs w:val="18"/>
              </w:rPr>
            </w:pPr>
            <w:r>
              <w:rPr>
                <w:rFonts w:hint="eastAsia" w:ascii="宋体" w:hAnsi="宋体" w:eastAsia="宋体" w:cs="宋体"/>
                <w:kern w:val="0"/>
                <w:sz w:val="18"/>
                <w:szCs w:val="18"/>
              </w:rPr>
              <w:t>注1：d为钢丝绳公称直径；</w:t>
            </w:r>
          </w:p>
          <w:p w14:paraId="1E82D5E8">
            <w:pPr>
              <w:adjustRightInd w:val="0"/>
              <w:snapToGrid w:val="0"/>
              <w:ind w:left="-2" w:leftChars="-1" w:firstLine="1"/>
              <w:jc w:val="both"/>
              <w:rPr>
                <w:rFonts w:hint="eastAsia" w:ascii="宋体" w:hAnsi="宋体" w:eastAsia="宋体" w:cs="宋体"/>
                <w:kern w:val="0"/>
                <w:sz w:val="18"/>
                <w:szCs w:val="18"/>
              </w:rPr>
            </w:pPr>
            <w:r>
              <w:rPr>
                <w:rFonts w:hint="eastAsia" w:ascii="宋体" w:hAnsi="宋体" w:eastAsia="宋体" w:cs="宋体"/>
                <w:kern w:val="0"/>
                <w:sz w:val="18"/>
                <w:szCs w:val="18"/>
              </w:rPr>
              <w:t>注2：如果断丝局部聚集集中在一个或两个相邻的绳股，即使6d长度范围内的断丝数低于表1规定值也应报废；</w:t>
            </w:r>
          </w:p>
          <w:p w14:paraId="0E6F2AF7">
            <w:pPr>
              <w:adjustRightInd w:val="0"/>
              <w:snapToGrid w:val="0"/>
              <w:ind w:left="-2" w:leftChars="-1" w:firstLine="1"/>
              <w:jc w:val="both"/>
              <w:rPr>
                <w:rFonts w:hint="eastAsia" w:ascii="宋体" w:hAnsi="宋体" w:eastAsia="宋体" w:cs="宋体"/>
                <w:kern w:val="0"/>
                <w:sz w:val="18"/>
                <w:szCs w:val="18"/>
              </w:rPr>
            </w:pPr>
            <w:r>
              <w:rPr>
                <w:rFonts w:hint="eastAsia" w:ascii="宋体" w:hAnsi="宋体" w:eastAsia="宋体" w:cs="宋体"/>
                <w:kern w:val="0"/>
                <w:sz w:val="18"/>
                <w:szCs w:val="18"/>
              </w:rPr>
              <w:t>注3：在6d长度范围内，出现2根或以上的股沟断丝也应报废；</w:t>
            </w:r>
          </w:p>
        </w:tc>
      </w:tr>
    </w:tbl>
    <w:p w14:paraId="284B7F5E">
      <w:pPr>
        <w:adjustRightInd w:val="0"/>
        <w:snapToGrid w:val="0"/>
        <w:spacing w:before="156" w:beforeLines="50" w:line="300" w:lineRule="auto"/>
        <w:ind w:left="425"/>
        <w:rPr>
          <w:rFonts w:ascii="宋体" w:hAnsi="宋体"/>
          <w:kern w:val="0"/>
          <w:szCs w:val="21"/>
        </w:rPr>
      </w:pPr>
      <w:r>
        <w:rPr>
          <w:rFonts w:ascii="宋体" w:hAnsi="宋体"/>
          <w:kern w:val="0"/>
          <w:szCs w:val="21"/>
        </w:rPr>
        <w:t>b</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直径减小：钢丝绳直径均匀减小</w:t>
      </w:r>
      <w:r>
        <w:rPr>
          <w:rFonts w:ascii="宋体" w:hAnsi="宋体"/>
          <w:kern w:val="0"/>
          <w:szCs w:val="21"/>
        </w:rPr>
        <w:t>7%</w:t>
      </w:r>
      <w:r>
        <w:rPr>
          <w:rFonts w:hint="eastAsia" w:ascii="宋体" w:hAnsi="宋体"/>
          <w:kern w:val="0"/>
          <w:szCs w:val="21"/>
        </w:rPr>
        <w:t>或直径有明显的局部减小；</w:t>
      </w:r>
      <w:r>
        <w:rPr>
          <w:rFonts w:ascii="宋体" w:hAnsi="宋体"/>
          <w:kern w:val="0"/>
          <w:szCs w:val="21"/>
        </w:rPr>
        <w:t xml:space="preserve"> </w:t>
      </w:r>
    </w:p>
    <w:p w14:paraId="7AD44DDC">
      <w:pPr>
        <w:adjustRightInd w:val="0"/>
        <w:snapToGrid w:val="0"/>
        <w:spacing w:line="300" w:lineRule="auto"/>
        <w:ind w:left="426"/>
        <w:rPr>
          <w:rFonts w:ascii="宋体" w:hAnsi="宋体"/>
          <w:kern w:val="0"/>
          <w:szCs w:val="21"/>
        </w:rPr>
      </w:pPr>
      <w:r>
        <w:rPr>
          <w:rFonts w:ascii="宋体" w:hAnsi="宋体"/>
          <w:kern w:val="0"/>
          <w:szCs w:val="21"/>
        </w:rPr>
        <w:t xml:space="preserve">c) </w:t>
      </w:r>
      <w:r>
        <w:rPr>
          <w:rFonts w:hint="eastAsia" w:ascii="宋体" w:hAnsi="宋体"/>
          <w:kern w:val="0"/>
          <w:szCs w:val="21"/>
        </w:rPr>
        <w:t>断股：钢丝绳发生整股断裂；</w:t>
      </w:r>
      <w:bookmarkStart w:id="13" w:name="_GoBack"/>
      <w:bookmarkEnd w:id="13"/>
    </w:p>
    <w:p w14:paraId="65FD5EEF">
      <w:pPr>
        <w:adjustRightInd w:val="0"/>
        <w:snapToGrid w:val="0"/>
        <w:spacing w:line="300" w:lineRule="auto"/>
        <w:ind w:left="426"/>
        <w:rPr>
          <w:rFonts w:ascii="宋体" w:hAnsi="宋体"/>
          <w:kern w:val="0"/>
          <w:szCs w:val="21"/>
        </w:rPr>
      </w:pPr>
      <w:r>
        <w:rPr>
          <w:rFonts w:ascii="宋体" w:hAnsi="宋体"/>
          <w:kern w:val="0"/>
          <w:szCs w:val="21"/>
        </w:rPr>
        <w:t xml:space="preserve">d) </w:t>
      </w:r>
      <w:r>
        <w:rPr>
          <w:rFonts w:hint="eastAsia" w:ascii="宋体" w:hAnsi="宋体"/>
          <w:kern w:val="0"/>
          <w:szCs w:val="21"/>
        </w:rPr>
        <w:t>腐蚀：钢丝绳表面手感粗糙或明显可见的内部锈蚀迹象；</w:t>
      </w:r>
    </w:p>
    <w:p w14:paraId="4164FDC0">
      <w:pPr>
        <w:adjustRightInd w:val="0"/>
        <w:snapToGrid w:val="0"/>
        <w:spacing w:after="200" w:line="300" w:lineRule="auto"/>
        <w:ind w:left="707" w:leftChars="203" w:hanging="281" w:hangingChars="134"/>
        <w:rPr>
          <w:rFonts w:ascii="宋体" w:hAnsi="宋体"/>
          <w:kern w:val="0"/>
          <w:szCs w:val="21"/>
        </w:rPr>
      </w:pPr>
      <w:r>
        <w:rPr>
          <w:rFonts w:ascii="宋体" w:hAnsi="宋体"/>
          <w:kern w:val="0"/>
          <w:szCs w:val="21"/>
        </w:rPr>
        <w:t xml:space="preserve">e) </w:t>
      </w:r>
      <w:r>
        <w:rPr>
          <w:rFonts w:hint="eastAsia" w:ascii="宋体" w:hAnsi="宋体"/>
          <w:kern w:val="0"/>
          <w:szCs w:val="21"/>
        </w:rPr>
        <w:t>畸形与损伤：钢丝绳出现波浪形、笼状畸形、绳股突出或扭曲、钢丝的环状突出、绳径局部增大、局部扁平、扭结、折弯、热和电弧引起的损伤等情况并达到G</w:t>
      </w:r>
      <w:r>
        <w:rPr>
          <w:rFonts w:ascii="宋体" w:hAnsi="宋体"/>
          <w:kern w:val="0"/>
          <w:szCs w:val="21"/>
        </w:rPr>
        <w:t>B/T 5972-2023</w:t>
      </w:r>
      <w:r>
        <w:rPr>
          <w:rFonts w:hint="eastAsia" w:ascii="宋体" w:hAnsi="宋体"/>
          <w:kern w:val="0"/>
          <w:szCs w:val="21"/>
        </w:rPr>
        <w:t>中6</w:t>
      </w:r>
      <w:r>
        <w:rPr>
          <w:rFonts w:ascii="宋体" w:hAnsi="宋体"/>
          <w:kern w:val="0"/>
          <w:szCs w:val="21"/>
        </w:rPr>
        <w:t>.7</w:t>
      </w:r>
      <w:r>
        <w:rPr>
          <w:rFonts w:hint="eastAsia" w:ascii="宋体" w:hAnsi="宋体"/>
          <w:kern w:val="0"/>
          <w:szCs w:val="21"/>
        </w:rPr>
        <w:t>的规定。</w:t>
      </w:r>
    </w:p>
    <w:p w14:paraId="0C4E4DA4">
      <w:pPr>
        <w:adjustRightInd w:val="0"/>
        <w:snapToGrid w:val="0"/>
        <w:spacing w:before="156" w:beforeLines="50" w:after="156" w:afterLines="50"/>
        <w:ind w:left="-2" w:leftChars="-1"/>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.4.</w:t>
      </w:r>
      <w:r>
        <w:rPr>
          <w:rFonts w:hint="eastAsia" w:ascii="黑体" w:hAnsi="黑体" w:eastAsia="黑体"/>
          <w:kern w:val="0"/>
          <w:szCs w:val="21"/>
        </w:rPr>
        <w:t>2</w:t>
      </w:r>
      <w:r>
        <w:rPr>
          <w:rFonts w:ascii="黑体" w:hAnsi="黑体" w:eastAsia="黑体"/>
          <w:kern w:val="0"/>
          <w:szCs w:val="21"/>
        </w:rPr>
        <w:t xml:space="preserve"> </w:t>
      </w:r>
      <w:r>
        <w:rPr>
          <w:rFonts w:hint="eastAsia" w:ascii="黑体" w:hAnsi="黑体" w:eastAsia="黑体"/>
          <w:kern w:val="0"/>
          <w:szCs w:val="21"/>
        </w:rPr>
        <w:t>绳端固定装置</w:t>
      </w:r>
    </w:p>
    <w:p w14:paraId="215AA689">
      <w:pPr>
        <w:adjustRightInd w:val="0"/>
        <w:snapToGrid w:val="0"/>
        <w:spacing w:line="300" w:lineRule="auto"/>
        <w:ind w:firstLine="424" w:firstLineChars="202"/>
        <w:rPr>
          <w:rFonts w:ascii="宋体" w:hAnsi="宋体"/>
          <w:kern w:val="0"/>
          <w:szCs w:val="21"/>
        </w:rPr>
      </w:pPr>
      <w:r>
        <w:rPr>
          <w:rFonts w:hint="eastAsia" w:ascii="宋体" w:hAnsi="宋体"/>
          <w:kern w:val="0"/>
          <w:szCs w:val="21"/>
        </w:rPr>
        <w:t>工作钢丝绳、安全钢丝绳和悬挂装置用加强钢丝绳绳端固定装置出现下列情况之一，视为达到报废条件：</w:t>
      </w:r>
    </w:p>
    <w:p w14:paraId="279B8F1C">
      <w:pPr>
        <w:adjustRightInd w:val="0"/>
        <w:snapToGrid w:val="0"/>
        <w:spacing w:line="300" w:lineRule="auto"/>
        <w:ind w:left="707" w:leftChars="203" w:hanging="281" w:hangingChars="134"/>
        <w:rPr>
          <w:rFonts w:ascii="宋体" w:hAnsi="宋体"/>
          <w:kern w:val="0"/>
          <w:szCs w:val="21"/>
        </w:rPr>
      </w:pPr>
      <w:r>
        <w:rPr>
          <w:rFonts w:hint="eastAsia" w:ascii="宋体" w:hAnsi="宋体"/>
          <w:kern w:val="0"/>
          <w:szCs w:val="21"/>
        </w:rPr>
        <w:t>a</w:t>
      </w:r>
      <w:r>
        <w:rPr>
          <w:rFonts w:ascii="宋体" w:hAnsi="宋体"/>
          <w:kern w:val="0"/>
          <w:szCs w:val="21"/>
        </w:rPr>
        <w:t xml:space="preserve">) </w:t>
      </w:r>
      <w:r>
        <w:rPr>
          <w:rFonts w:hint="eastAsia" w:ascii="宋体" w:hAnsi="宋体"/>
          <w:kern w:val="0"/>
          <w:szCs w:val="21"/>
        </w:rPr>
        <w:t>金属压制接头处压套松动、裂纹或固定处（包括所经过的滑轮位置）钢丝绳的断丝数量达到2根或以上；</w:t>
      </w:r>
    </w:p>
    <w:p w14:paraId="296CB18C">
      <w:pPr>
        <w:adjustRightInd w:val="0"/>
        <w:snapToGrid w:val="0"/>
        <w:spacing w:line="300" w:lineRule="auto"/>
        <w:ind w:left="284" w:firstLine="134" w:firstLineChars="64"/>
        <w:rPr>
          <w:rFonts w:ascii="宋体" w:hAnsi="宋体"/>
          <w:kern w:val="0"/>
          <w:szCs w:val="21"/>
        </w:rPr>
      </w:pPr>
      <w:r>
        <w:rPr>
          <w:rFonts w:ascii="宋体" w:hAnsi="宋体"/>
          <w:kern w:val="0"/>
          <w:szCs w:val="21"/>
        </w:rPr>
        <w:t xml:space="preserve">b) </w:t>
      </w:r>
      <w:r>
        <w:rPr>
          <w:rFonts w:hint="eastAsia" w:ascii="宋体" w:hAnsi="宋体"/>
          <w:kern w:val="0"/>
          <w:szCs w:val="21"/>
        </w:rPr>
        <w:t>自紧楔形接头的楔套目测可见永久变形、楔块出现裂纹或破损。</w:t>
      </w:r>
    </w:p>
    <w:p w14:paraId="79810290">
      <w:pPr>
        <w:adjustRightInd w:val="0"/>
        <w:snapToGrid w:val="0"/>
        <w:spacing w:line="300" w:lineRule="auto"/>
        <w:ind w:left="284" w:firstLine="134" w:firstLineChars="64"/>
        <w:rPr>
          <w:rFonts w:ascii="宋体" w:hAnsi="宋体"/>
          <w:color w:val="FF0000"/>
          <w:kern w:val="0"/>
          <w:szCs w:val="21"/>
        </w:rPr>
      </w:pPr>
      <w:r>
        <w:rPr>
          <w:rFonts w:ascii="宋体" w:hAnsi="宋体"/>
          <w:kern w:val="0"/>
          <w:szCs w:val="21"/>
        </w:rPr>
        <w:t>c</w:t>
      </w:r>
      <w:r>
        <w:rPr>
          <w:rFonts w:hint="eastAsia" w:ascii="宋体" w:hAnsi="宋体"/>
          <w:kern w:val="0"/>
          <w:szCs w:val="21"/>
        </w:rPr>
        <w:t>）加强钢丝绳用</w:t>
      </w:r>
      <w:r>
        <w:rPr>
          <w:rFonts w:hint="eastAsia" w:ascii="Segoe UI" w:hAnsi="Segoe UI" w:cs="Segoe UI"/>
          <w:bCs/>
          <w:kern w:val="0"/>
        </w:rPr>
        <w:t>索具螺旋扣出现裂纹或螺牙磨损。</w:t>
      </w:r>
    </w:p>
    <w:p w14:paraId="10B3F9F1">
      <w:pPr>
        <w:widowControl/>
        <w:adjustRightInd w:val="0"/>
        <w:snapToGrid w:val="0"/>
        <w:spacing w:before="156" w:beforeLines="50" w:after="156" w:afterLines="50"/>
        <w:jc w:val="left"/>
        <w:rPr>
          <w:rFonts w:ascii="黑体" w:hAnsi="黑体" w:eastAsia="黑体"/>
          <w:kern w:val="0"/>
          <w:szCs w:val="21"/>
        </w:rPr>
      </w:pPr>
      <w:r>
        <w:rPr>
          <w:rFonts w:ascii="黑体" w:hAnsi="黑体" w:eastAsia="黑体"/>
          <w:kern w:val="0"/>
          <w:szCs w:val="21"/>
        </w:rPr>
        <w:t xml:space="preserve">4.5  </w:t>
      </w:r>
      <w:r>
        <w:rPr>
          <w:rFonts w:hint="eastAsia" w:ascii="黑体" w:hAnsi="黑体" w:eastAsia="黑体"/>
          <w:kern w:val="0"/>
          <w:szCs w:val="21"/>
        </w:rPr>
        <w:t>结构件</w:t>
      </w:r>
    </w:p>
    <w:p w14:paraId="434FB889">
      <w:pPr>
        <w:pStyle w:val="199"/>
        <w:widowControl/>
        <w:adjustRightInd w:val="0"/>
        <w:snapToGrid w:val="0"/>
        <w:spacing w:line="300" w:lineRule="auto"/>
        <w:ind w:firstLine="424" w:firstLineChars="202"/>
        <w:jc w:val="left"/>
        <w:rPr>
          <w:rFonts w:ascii="宋体" w:hAnsi="宋体"/>
          <w:kern w:val="0"/>
          <w:szCs w:val="21"/>
        </w:rPr>
      </w:pPr>
      <w:r>
        <w:rPr>
          <w:rFonts w:hint="eastAsia" w:ascii="宋体" w:hAnsi="宋体"/>
          <w:kern w:val="0"/>
          <w:szCs w:val="21"/>
        </w:rPr>
        <w:t>悬挂装置和悬吊平台结构件出现下列情况之一</w:t>
      </w:r>
      <w:r>
        <w:rPr>
          <w:rFonts w:hint="eastAsia" w:ascii="Segoe UI" w:hAnsi="Segoe UI" w:cs="Segoe UI"/>
          <w:bCs/>
          <w:kern w:val="0"/>
        </w:rPr>
        <w:t>且</w:t>
      </w:r>
      <w:r>
        <w:rPr>
          <w:rFonts w:hint="eastAsia" w:ascii="宋体" w:hAnsi="宋体"/>
          <w:kern w:val="0"/>
          <w:szCs w:val="21"/>
        </w:rPr>
        <w:t>不能修复时，或采取加强措施后仍不符合G</w:t>
      </w:r>
      <w:r>
        <w:rPr>
          <w:rFonts w:ascii="宋体" w:hAnsi="宋体"/>
          <w:kern w:val="0"/>
          <w:szCs w:val="21"/>
        </w:rPr>
        <w:t>B/T 19155-2017</w:t>
      </w:r>
      <w:r>
        <w:rPr>
          <w:rFonts w:hint="eastAsia" w:ascii="宋体" w:hAnsi="宋体"/>
          <w:kern w:val="0"/>
          <w:szCs w:val="21"/>
        </w:rPr>
        <w:t>中7</w:t>
      </w:r>
      <w:r>
        <w:rPr>
          <w:rFonts w:ascii="宋体" w:hAnsi="宋体"/>
          <w:kern w:val="0"/>
          <w:szCs w:val="21"/>
        </w:rPr>
        <w:t>.9</w:t>
      </w:r>
      <w:r>
        <w:rPr>
          <w:rFonts w:hint="eastAsia" w:ascii="宋体" w:hAnsi="宋体"/>
          <w:kern w:val="0"/>
          <w:szCs w:val="21"/>
        </w:rPr>
        <w:t>或9</w:t>
      </w:r>
      <w:r>
        <w:rPr>
          <w:rFonts w:ascii="宋体" w:hAnsi="宋体"/>
          <w:kern w:val="0"/>
          <w:szCs w:val="21"/>
        </w:rPr>
        <w:t>.5</w:t>
      </w:r>
      <w:r>
        <w:rPr>
          <w:rFonts w:hint="eastAsia" w:ascii="宋体" w:hAnsi="宋体"/>
          <w:kern w:val="0"/>
          <w:szCs w:val="21"/>
        </w:rPr>
        <w:t>的要求时，视为达到报废条件：</w:t>
      </w:r>
    </w:p>
    <w:p w14:paraId="604325F6">
      <w:pPr>
        <w:widowControl/>
        <w:numPr>
          <w:ilvl w:val="0"/>
          <w:numId w:val="14"/>
        </w:numPr>
        <w:shd w:val="clear" w:color="auto" w:fill="FFFFFF"/>
        <w:adjustRightInd w:val="0"/>
        <w:snapToGrid w:val="0"/>
        <w:spacing w:line="300" w:lineRule="auto"/>
        <w:ind w:left="709" w:hanging="284"/>
        <w:jc w:val="left"/>
        <w:rPr>
          <w:rFonts w:ascii="宋体" w:hAnsi="宋体"/>
          <w:kern w:val="0"/>
          <w:szCs w:val="21"/>
        </w:rPr>
      </w:pPr>
      <w:r>
        <w:rPr>
          <w:rFonts w:hint="eastAsia" w:ascii="宋体" w:hAnsi="宋体"/>
          <w:kern w:val="0"/>
          <w:szCs w:val="21"/>
        </w:rPr>
        <w:t>主要结构件</w:t>
      </w:r>
      <w:r>
        <w:rPr>
          <w:rFonts w:hint="eastAsia" w:ascii="Segoe UI" w:hAnsi="Segoe UI" w:cs="Segoe UI"/>
          <w:kern w:val="0"/>
        </w:rPr>
        <w:t>壁厚</w:t>
      </w:r>
      <w:r>
        <w:rPr>
          <w:rFonts w:ascii="Segoe UI" w:hAnsi="Segoe UI" w:cs="Segoe UI"/>
          <w:kern w:val="0"/>
        </w:rPr>
        <w:t>减薄</w:t>
      </w:r>
      <w:r>
        <w:rPr>
          <w:rFonts w:hint="eastAsia" w:ascii="Segoe UI" w:hAnsi="Segoe UI" w:cs="Segoe UI"/>
          <w:kern w:val="0"/>
        </w:rPr>
        <w:t>量达</w:t>
      </w:r>
      <w:r>
        <w:rPr>
          <w:rFonts w:ascii="Segoe UI" w:hAnsi="Segoe UI" w:cs="Segoe UI"/>
          <w:bCs/>
          <w:kern w:val="0"/>
        </w:rPr>
        <w:t>原厚度的10%</w:t>
      </w:r>
      <w:r>
        <w:rPr>
          <w:rFonts w:hint="eastAsia" w:ascii="Segoe UI" w:hAnsi="Segoe UI" w:cs="Segoe UI"/>
          <w:bCs/>
          <w:kern w:val="0"/>
        </w:rPr>
        <w:t>；</w:t>
      </w:r>
    </w:p>
    <w:p w14:paraId="405C085D">
      <w:pPr>
        <w:pStyle w:val="199"/>
        <w:numPr>
          <w:ilvl w:val="0"/>
          <w:numId w:val="14"/>
        </w:numPr>
        <w:adjustRightInd w:val="0"/>
        <w:snapToGrid w:val="0"/>
        <w:spacing w:line="300" w:lineRule="auto"/>
        <w:ind w:left="709" w:hanging="279" w:firstLineChars="0"/>
        <w:rPr>
          <w:rFonts w:ascii="宋体" w:hAnsi="宋体"/>
          <w:kern w:val="0"/>
          <w:szCs w:val="21"/>
        </w:rPr>
      </w:pPr>
      <w:r>
        <w:rPr>
          <w:rFonts w:hint="eastAsia" w:ascii="宋体" w:hAnsi="宋体"/>
          <w:kern w:val="0"/>
          <w:szCs w:val="21"/>
        </w:rPr>
        <w:t>结构件母材或焊缝出现裂纹；</w:t>
      </w:r>
      <w:r>
        <w:rPr>
          <w:rFonts w:ascii="宋体" w:hAnsi="宋体"/>
          <w:kern w:val="0"/>
          <w:szCs w:val="21"/>
        </w:rPr>
        <w:t xml:space="preserve"> </w:t>
      </w:r>
    </w:p>
    <w:p w14:paraId="7E95C934">
      <w:pPr>
        <w:adjustRightInd w:val="0"/>
        <w:snapToGrid w:val="0"/>
        <w:spacing w:line="300" w:lineRule="auto"/>
        <w:ind w:firstLine="424" w:firstLineChars="202"/>
        <w:rPr>
          <w:rFonts w:ascii="宋体" w:hAnsi="宋体"/>
          <w:kern w:val="0"/>
          <w:szCs w:val="21"/>
        </w:rPr>
      </w:pPr>
      <w:r>
        <w:rPr>
          <w:rFonts w:ascii="宋体" w:hAnsi="宋体"/>
          <w:kern w:val="0"/>
          <w:szCs w:val="21"/>
        </w:rPr>
        <w:t xml:space="preserve">c) </w:t>
      </w:r>
      <w:r>
        <w:rPr>
          <w:rFonts w:hint="eastAsia" w:ascii="宋体" w:hAnsi="宋体"/>
          <w:kern w:val="0"/>
          <w:szCs w:val="21"/>
        </w:rPr>
        <w:t>悬挂装置主要受力杆件在非工作状态目测可见永久变形；</w:t>
      </w:r>
      <w:r>
        <w:rPr>
          <w:rFonts w:ascii="宋体" w:hAnsi="宋体"/>
          <w:kern w:val="0"/>
          <w:szCs w:val="21"/>
        </w:rPr>
        <w:t xml:space="preserve"> </w:t>
      </w:r>
    </w:p>
    <w:p w14:paraId="669B9C8B">
      <w:pPr>
        <w:adjustRightInd w:val="0"/>
        <w:snapToGrid w:val="0"/>
        <w:spacing w:line="300" w:lineRule="auto"/>
        <w:ind w:firstLine="424" w:firstLineChars="202"/>
        <w:rPr>
          <w:rFonts w:hint="eastAsia" w:ascii="宋体" w:hAnsi="宋体"/>
          <w:kern w:val="0"/>
          <w:szCs w:val="21"/>
        </w:rPr>
      </w:pPr>
      <w:r>
        <w:rPr>
          <w:rFonts w:ascii="宋体" w:hAnsi="宋体"/>
          <w:kern w:val="0"/>
          <w:szCs w:val="21"/>
        </w:rPr>
        <w:t xml:space="preserve">d) </w:t>
      </w:r>
      <w:r>
        <w:rPr>
          <w:rFonts w:hint="eastAsia" w:ascii="宋体" w:hAnsi="宋体"/>
          <w:kern w:val="0"/>
          <w:szCs w:val="21"/>
        </w:rPr>
        <w:t>悬挂装置等整体失稳后不应修复，应予报废；</w:t>
      </w:r>
    </w:p>
    <w:p w14:paraId="4EDAECC5">
      <w:pPr>
        <w:widowControl/>
        <w:shd w:val="clear" w:color="auto" w:fill="FFFFFF"/>
        <w:adjustRightInd w:val="0"/>
        <w:snapToGrid w:val="0"/>
        <w:spacing w:line="300" w:lineRule="auto"/>
        <w:ind w:firstLine="424" w:firstLineChars="202"/>
        <w:jc w:val="left"/>
        <w:rPr>
          <w:rFonts w:ascii="宋体" w:hAnsi="宋体"/>
          <w:kern w:val="0"/>
          <w:szCs w:val="21"/>
        </w:rPr>
      </w:pPr>
      <w:r>
        <w:rPr>
          <w:rFonts w:ascii="宋体" w:hAnsi="宋体"/>
          <w:kern w:val="0"/>
          <w:szCs w:val="21"/>
        </w:rPr>
        <w:t xml:space="preserve">e) </w:t>
      </w:r>
      <w:r>
        <w:rPr>
          <w:rFonts w:hint="eastAsia" w:ascii="宋体" w:hAnsi="宋体"/>
          <w:kern w:val="0"/>
          <w:szCs w:val="21"/>
        </w:rPr>
        <w:t>悬吊平台的</w:t>
      </w:r>
      <w:r>
        <w:rPr>
          <w:rFonts w:hint="eastAsia" w:ascii="Segoe UI" w:hAnsi="Segoe UI" w:cs="Segoe UI"/>
          <w:bCs/>
          <w:kern w:val="0"/>
        </w:rPr>
        <w:t>提升机安装架目测可见永久变形；</w:t>
      </w:r>
      <w:r>
        <w:rPr>
          <w:rFonts w:ascii="宋体" w:hAnsi="宋体"/>
          <w:kern w:val="0"/>
          <w:szCs w:val="21"/>
        </w:rPr>
        <w:t xml:space="preserve"> </w:t>
      </w:r>
    </w:p>
    <w:p w14:paraId="79E3442D">
      <w:pPr>
        <w:widowControl/>
        <w:shd w:val="clear" w:color="auto" w:fill="FFFFFF"/>
        <w:adjustRightInd w:val="0"/>
        <w:snapToGrid w:val="0"/>
        <w:spacing w:line="300" w:lineRule="auto"/>
        <w:ind w:firstLine="424" w:firstLineChars="202"/>
        <w:jc w:val="left"/>
        <w:rPr>
          <w:rFonts w:ascii="宋体" w:hAnsi="宋体"/>
          <w:kern w:val="0"/>
          <w:szCs w:val="21"/>
        </w:rPr>
      </w:pPr>
      <w:r>
        <w:rPr>
          <w:rFonts w:cs="Segoe UI" w:asciiTheme="minorEastAsia" w:hAnsiTheme="minorEastAsia" w:eastAsiaTheme="minorEastAsia"/>
          <w:bCs/>
          <w:kern w:val="0"/>
        </w:rPr>
        <w:t xml:space="preserve">f) </w:t>
      </w:r>
      <w:r>
        <w:rPr>
          <w:rFonts w:hint="eastAsia" w:ascii="宋体" w:hAnsi="宋体"/>
          <w:kern w:val="0"/>
          <w:szCs w:val="21"/>
        </w:rPr>
        <w:t>悬吊平台的</w:t>
      </w:r>
      <w:r>
        <w:rPr>
          <w:rFonts w:hint="eastAsia" w:ascii="Segoe UI" w:hAnsi="Segoe UI" w:cs="Segoe UI"/>
          <w:bCs/>
          <w:kern w:val="0"/>
        </w:rPr>
        <w:t>护栏上弦杆目测可见永久变形。</w:t>
      </w:r>
    </w:p>
    <w:p w14:paraId="1F4BC9DC">
      <w:pPr>
        <w:adjustRightInd w:val="0"/>
        <w:spacing w:before="156" w:beforeLines="50" w:after="156" w:afterLines="50" w:line="300" w:lineRule="auto"/>
        <w:ind w:left="705" w:leftChars="1" w:hanging="703" w:hangingChars="335"/>
        <w:rPr>
          <w:rFonts w:ascii="黑体" w:hAnsi="黑体" w:eastAsia="黑体"/>
          <w:kern w:val="0"/>
          <w:szCs w:val="21"/>
        </w:rPr>
      </w:pPr>
      <w:r>
        <w:rPr>
          <w:rFonts w:hint="eastAsia" w:ascii="黑体" w:hAnsi="黑体" w:eastAsia="黑体"/>
          <w:kern w:val="0"/>
          <w:szCs w:val="21"/>
        </w:rPr>
        <w:t>4</w:t>
      </w:r>
      <w:r>
        <w:rPr>
          <w:rFonts w:ascii="黑体" w:hAnsi="黑体" w:eastAsia="黑体"/>
          <w:kern w:val="0"/>
          <w:szCs w:val="21"/>
        </w:rPr>
        <w:t xml:space="preserve">.6 </w:t>
      </w:r>
      <w:r>
        <w:rPr>
          <w:rFonts w:hint="eastAsia" w:ascii="黑体" w:hAnsi="黑体" w:eastAsia="黑体"/>
          <w:kern w:val="0"/>
          <w:szCs w:val="21"/>
        </w:rPr>
        <w:t>配重</w:t>
      </w:r>
    </w:p>
    <w:p w14:paraId="60274196">
      <w:pPr>
        <w:adjustRightInd w:val="0"/>
        <w:snapToGrid w:val="0"/>
        <w:spacing w:line="300" w:lineRule="auto"/>
        <w:ind w:firstLine="420" w:firstLineChars="200"/>
        <w:rPr>
          <w:rFonts w:ascii="宋体" w:hAnsi="宋体"/>
          <w:kern w:val="0"/>
          <w:szCs w:val="21"/>
        </w:rPr>
      </w:pPr>
      <w:r>
        <w:rPr>
          <w:rFonts w:hint="eastAsia" w:asciiTheme="minorEastAsia" w:hAnsiTheme="minorEastAsia" w:eastAsiaTheme="minorEastAsia"/>
          <w:kern w:val="0"/>
          <w:szCs w:val="21"/>
        </w:rPr>
        <w:t>悬挂装置用配重</w:t>
      </w:r>
      <w:r>
        <w:rPr>
          <w:rFonts w:hint="eastAsia" w:ascii="宋体" w:hAnsi="宋体"/>
          <w:kern w:val="0"/>
          <w:szCs w:val="21"/>
        </w:rPr>
        <w:t>出现下列情况之一，视为达到报废条件：</w:t>
      </w:r>
    </w:p>
    <w:p w14:paraId="09D2E804">
      <w:pPr>
        <w:pStyle w:val="199"/>
        <w:widowControl/>
        <w:numPr>
          <w:ilvl w:val="1"/>
          <w:numId w:val="13"/>
        </w:numPr>
        <w:adjustRightInd w:val="0"/>
        <w:snapToGrid w:val="0"/>
        <w:spacing w:line="300" w:lineRule="auto"/>
        <w:ind w:left="851" w:hanging="425" w:firstLineChars="0"/>
        <w:jc w:val="left"/>
        <w:rPr>
          <w:rFonts w:ascii="黑体" w:hAnsi="黑体" w:eastAsia="黑体"/>
          <w:kern w:val="0"/>
          <w:szCs w:val="21"/>
        </w:rPr>
      </w:pPr>
      <w:r>
        <w:rPr>
          <w:rFonts w:hint="eastAsia" w:asciiTheme="minorEastAsia" w:hAnsiTheme="minorEastAsia" w:eastAsiaTheme="minorEastAsia"/>
          <w:kern w:val="0"/>
          <w:szCs w:val="21"/>
        </w:rPr>
        <w:t>配重整体开裂或重量标志无法辨认；</w:t>
      </w:r>
      <w:r>
        <w:rPr>
          <w:rFonts w:ascii="黑体" w:hAnsi="黑体" w:eastAsia="黑体"/>
          <w:kern w:val="0"/>
          <w:szCs w:val="21"/>
        </w:rPr>
        <w:t xml:space="preserve"> </w:t>
      </w:r>
    </w:p>
    <w:p w14:paraId="57178A40">
      <w:pPr>
        <w:pStyle w:val="199"/>
        <w:widowControl/>
        <w:numPr>
          <w:ilvl w:val="1"/>
          <w:numId w:val="13"/>
        </w:numPr>
        <w:adjustRightInd w:val="0"/>
        <w:snapToGrid w:val="0"/>
        <w:spacing w:line="276" w:lineRule="auto"/>
        <w:ind w:left="851" w:hanging="425" w:firstLineChars="0"/>
        <w:jc w:val="left"/>
        <w:rPr>
          <w:rFonts w:ascii="黑体" w:hAnsi="黑体" w:eastAsia="黑体"/>
          <w:strike/>
          <w:kern w:val="0"/>
          <w:szCs w:val="21"/>
        </w:rPr>
      </w:pPr>
      <w:r>
        <w:rPr>
          <w:rFonts w:hint="eastAsia" w:asciiTheme="minorEastAsia" w:hAnsiTheme="minorEastAsia" w:eastAsiaTheme="minorEastAsia"/>
          <w:kern w:val="0"/>
          <w:szCs w:val="21"/>
        </w:rPr>
        <w:t>配重因棱角破损，实际重量小于其标称重量2</w:t>
      </w:r>
      <w:r>
        <w:rPr>
          <w:rFonts w:asciiTheme="minorEastAsia" w:hAnsiTheme="minorEastAsia" w:eastAsiaTheme="minorEastAsia"/>
          <w:kern w:val="0"/>
          <w:szCs w:val="21"/>
        </w:rPr>
        <w:t>%</w:t>
      </w:r>
      <w:r>
        <w:rPr>
          <w:rFonts w:hint="eastAsia" w:asciiTheme="minorEastAsia" w:hAnsiTheme="minorEastAsia" w:eastAsiaTheme="minorEastAsia"/>
          <w:kern w:val="0"/>
          <w:szCs w:val="21"/>
        </w:rPr>
        <w:t>。</w:t>
      </w:r>
    </w:p>
    <w:p w14:paraId="6B4BC16F">
      <w:pPr>
        <w:widowControl/>
        <w:adjustRightInd w:val="0"/>
        <w:snapToGrid w:val="0"/>
        <w:spacing w:before="156" w:beforeLines="50" w:after="156" w:afterLines="50" w:line="300" w:lineRule="auto"/>
        <w:jc w:val="left"/>
        <w:rPr>
          <w:rFonts w:ascii="黑体" w:hAnsi="黑体" w:eastAsia="黑体"/>
          <w:kern w:val="0"/>
          <w:szCs w:val="21"/>
        </w:rPr>
      </w:pPr>
      <w:r>
        <w:rPr>
          <w:rFonts w:ascii="黑体" w:hAnsi="黑体" w:eastAsia="黑体"/>
          <w:kern w:val="0"/>
          <w:szCs w:val="21"/>
        </w:rPr>
        <w:t xml:space="preserve">4.7 </w:t>
      </w:r>
      <w:r>
        <w:rPr>
          <w:rFonts w:hint="eastAsia" w:ascii="黑体" w:hAnsi="黑体" w:eastAsia="黑体"/>
          <w:kern w:val="0"/>
          <w:szCs w:val="21"/>
        </w:rPr>
        <w:t>电气控制箱</w:t>
      </w:r>
    </w:p>
    <w:p w14:paraId="5E2F9ACC">
      <w:pPr>
        <w:pStyle w:val="199"/>
        <w:widowControl/>
        <w:adjustRightInd w:val="0"/>
        <w:snapToGrid w:val="0"/>
        <w:spacing w:line="300" w:lineRule="auto"/>
        <w:ind w:firstLine="424" w:firstLineChars="202"/>
        <w:jc w:val="left"/>
        <w:rPr>
          <w:rFonts w:ascii="宋体" w:hAnsi="宋体"/>
          <w:kern w:val="0"/>
          <w:szCs w:val="21"/>
        </w:rPr>
      </w:pPr>
      <w:r>
        <w:rPr>
          <w:rFonts w:hint="eastAsia" w:ascii="宋体" w:hAnsi="宋体"/>
          <w:kern w:val="0"/>
          <w:szCs w:val="21"/>
        </w:rPr>
        <w:t>电气控制箱箱体或箱门目测可见永久变形、损坏或箱门无法锁紧，导致电控箱密封性能下降，防护等级不符合I</w:t>
      </w:r>
      <w:r>
        <w:rPr>
          <w:rFonts w:ascii="宋体" w:hAnsi="宋体"/>
          <w:kern w:val="0"/>
          <w:szCs w:val="21"/>
        </w:rPr>
        <w:t>P54</w:t>
      </w:r>
      <w:r>
        <w:rPr>
          <w:rFonts w:hint="eastAsia" w:ascii="宋体" w:hAnsi="宋体"/>
          <w:kern w:val="0"/>
          <w:szCs w:val="21"/>
        </w:rPr>
        <w:t>要求；</w:t>
      </w:r>
    </w:p>
    <w:p w14:paraId="3BA0FFCE">
      <w:pPr>
        <w:spacing w:before="312" w:beforeLines="100" w:after="312" w:afterLines="100" w:line="25" w:lineRule="atLeast"/>
        <w:rPr>
          <w:rFonts w:ascii="黑体" w:hAnsi="黑体" w:eastAsia="黑体"/>
          <w:szCs w:val="21"/>
        </w:rPr>
      </w:pPr>
      <w:r>
        <w:rPr>
          <w:rFonts w:ascii="黑体" w:hAnsi="黑体" w:eastAsia="黑体"/>
          <w:szCs w:val="21"/>
        </w:rPr>
        <w:t xml:space="preserve">5 </w:t>
      </w:r>
      <w:r>
        <w:rPr>
          <w:rFonts w:hint="eastAsia" w:ascii="黑体" w:hAnsi="黑体" w:eastAsia="黑体"/>
          <w:szCs w:val="21"/>
        </w:rPr>
        <w:t>记录</w:t>
      </w:r>
    </w:p>
    <w:p w14:paraId="07573623">
      <w:pPr>
        <w:pStyle w:val="199"/>
        <w:widowControl/>
        <w:shd w:val="clear" w:color="auto" w:fill="FFFFFF"/>
        <w:adjustRightInd w:val="0"/>
        <w:snapToGrid w:val="0"/>
        <w:spacing w:line="300" w:lineRule="auto"/>
        <w:ind w:firstLine="0" w:firstLineChars="0"/>
        <w:jc w:val="left"/>
        <w:rPr>
          <w:rFonts w:ascii="Segoe UI" w:hAnsi="Segoe UI" w:cs="Segoe UI"/>
          <w:shd w:val="clear" w:color="auto" w:fill="FFFFFF"/>
        </w:rPr>
      </w:pPr>
      <w:r>
        <w:rPr>
          <w:rFonts w:hint="eastAsia" w:ascii="Segoe UI" w:hAnsi="Segoe UI" w:cs="Segoe UI"/>
          <w:color w:val="000000"/>
          <w:kern w:val="0"/>
          <w:szCs w:val="21"/>
        </w:rPr>
        <w:t>5</w:t>
      </w:r>
      <w:r>
        <w:rPr>
          <w:rFonts w:ascii="Segoe UI" w:hAnsi="Segoe UI" w:cs="Segoe UI"/>
          <w:color w:val="000000"/>
          <w:kern w:val="0"/>
          <w:szCs w:val="21"/>
        </w:rPr>
        <w:t xml:space="preserve">.1 </w:t>
      </w:r>
      <w:r>
        <w:rPr>
          <w:rFonts w:hint="eastAsia" w:ascii="Segoe UI" w:hAnsi="Segoe UI" w:cs="Segoe UI"/>
          <w:color w:val="000000"/>
          <w:kern w:val="0"/>
          <w:szCs w:val="21"/>
        </w:rPr>
        <w:t>吊篮主要零</w:t>
      </w:r>
      <w:r>
        <w:rPr>
          <w:rFonts w:hint="eastAsia" w:ascii="Segoe UI" w:hAnsi="Segoe UI" w:cs="Segoe UI"/>
          <w:shd w:val="clear" w:color="auto" w:fill="FFFFFF"/>
        </w:rPr>
        <w:t>部件的报废应记录并纳入设备管理档案。</w:t>
      </w:r>
    </w:p>
    <w:p w14:paraId="6F0FE454">
      <w:pPr>
        <w:pStyle w:val="199"/>
        <w:widowControl/>
        <w:shd w:val="clear" w:color="auto" w:fill="FFFFFF"/>
        <w:adjustRightInd w:val="0"/>
        <w:snapToGrid w:val="0"/>
        <w:spacing w:line="300" w:lineRule="auto"/>
        <w:ind w:firstLine="0" w:firstLineChars="0"/>
        <w:jc w:val="left"/>
        <w:rPr>
          <w:rFonts w:ascii="宋体" w:hAnsi="宋体"/>
          <w:strike/>
          <w:kern w:val="0"/>
          <w:szCs w:val="21"/>
        </w:rPr>
      </w:pPr>
      <w:r>
        <w:rPr>
          <w:rFonts w:hint="eastAsia" w:ascii="Segoe UI" w:hAnsi="Segoe UI" w:cs="Segoe UI"/>
          <w:shd w:val="clear" w:color="auto" w:fill="FFFFFF"/>
        </w:rPr>
        <w:t>5</w:t>
      </w:r>
      <w:r>
        <w:rPr>
          <w:rFonts w:ascii="Segoe UI" w:hAnsi="Segoe UI" w:cs="Segoe UI"/>
          <w:shd w:val="clear" w:color="auto" w:fill="FFFFFF"/>
        </w:rPr>
        <w:t xml:space="preserve">.2 </w:t>
      </w:r>
      <w:r>
        <w:rPr>
          <w:rFonts w:hint="eastAsia" w:ascii="Segoe UI" w:hAnsi="Segoe UI" w:cs="Segoe UI"/>
          <w:shd w:val="clear" w:color="auto" w:fill="FFFFFF"/>
        </w:rPr>
        <w:t>记录应包括</w:t>
      </w:r>
      <w:r>
        <w:rPr>
          <w:rFonts w:hint="eastAsia" w:ascii="Segoe UI" w:hAnsi="Segoe UI" w:cs="Segoe UI"/>
          <w:color w:val="000000"/>
          <w:kern w:val="0"/>
          <w:szCs w:val="21"/>
        </w:rPr>
        <w:t>报废零</w:t>
      </w:r>
      <w:r>
        <w:rPr>
          <w:rFonts w:ascii="Segoe UI" w:hAnsi="Segoe UI" w:cs="Segoe UI"/>
          <w:color w:val="000000"/>
          <w:kern w:val="0"/>
          <w:szCs w:val="21"/>
        </w:rPr>
        <w:t>部件的名称、型号、</w:t>
      </w:r>
      <w:r>
        <w:rPr>
          <w:rFonts w:hint="eastAsia" w:ascii="Segoe UI" w:hAnsi="Segoe UI" w:cs="Segoe UI"/>
          <w:color w:val="000000"/>
          <w:kern w:val="0"/>
          <w:szCs w:val="21"/>
        </w:rPr>
        <w:t>报</w:t>
      </w:r>
      <w:r>
        <w:rPr>
          <w:rFonts w:ascii="Segoe UI" w:hAnsi="Segoe UI" w:cs="Segoe UI"/>
          <w:color w:val="000000"/>
          <w:kern w:val="0"/>
          <w:szCs w:val="21"/>
        </w:rPr>
        <w:t>废原因、</w:t>
      </w:r>
      <w:r>
        <w:rPr>
          <w:rFonts w:hint="eastAsia" w:ascii="Segoe UI" w:hAnsi="Segoe UI" w:cs="Segoe UI"/>
          <w:color w:val="000000"/>
          <w:kern w:val="0"/>
          <w:szCs w:val="21"/>
        </w:rPr>
        <w:t>报</w:t>
      </w:r>
      <w:r>
        <w:rPr>
          <w:rFonts w:ascii="Segoe UI" w:hAnsi="Segoe UI" w:cs="Segoe UI"/>
          <w:color w:val="000000"/>
          <w:kern w:val="0"/>
          <w:szCs w:val="21"/>
        </w:rPr>
        <w:t>废日期</w:t>
      </w:r>
      <w:r>
        <w:rPr>
          <w:rFonts w:hint="eastAsia" w:ascii="Segoe UI" w:hAnsi="Segoe UI" w:cs="Segoe UI"/>
          <w:color w:val="000000"/>
          <w:kern w:val="0"/>
          <w:szCs w:val="21"/>
        </w:rPr>
        <w:t>、评估人员及审核人员签字</w:t>
      </w:r>
      <w:r>
        <w:rPr>
          <w:rFonts w:ascii="Segoe UI" w:hAnsi="Segoe UI" w:cs="Segoe UI"/>
          <w:color w:val="000000"/>
          <w:kern w:val="0"/>
          <w:szCs w:val="21"/>
        </w:rPr>
        <w:t>等信息</w:t>
      </w:r>
      <w:r>
        <w:rPr>
          <w:rFonts w:hint="eastAsia" w:ascii="Segoe UI" w:hAnsi="Segoe UI" w:cs="Segoe UI"/>
          <w:color w:val="000000"/>
          <w:kern w:val="0"/>
          <w:szCs w:val="21"/>
        </w:rPr>
        <w:t>。</w:t>
      </w:r>
    </w:p>
    <w:p w14:paraId="30644AAF">
      <w:pPr>
        <w:widowControl/>
        <w:adjustRightInd w:val="0"/>
        <w:snapToGrid w:val="0"/>
        <w:spacing w:after="200"/>
        <w:ind w:firstLine="443"/>
        <w:jc w:val="left"/>
        <w:rPr>
          <w:rFonts w:ascii="宋体" w:hAnsi="宋体"/>
          <w:kern w:val="0"/>
          <w:szCs w:val="21"/>
        </w:rPr>
      </w:pPr>
      <w:r>
        <w:rPr>
          <w:rFonts w:hint="eastAsia" w:ascii="宋体" w:hAnsi="宋体"/>
          <w:kern w:val="0"/>
          <w:szCs w:val="21"/>
        </w:rPr>
        <mc:AlternateContent>
          <mc:Choice Requires="wps">
            <w:drawing>
              <wp:anchor distT="0" distB="0" distL="114300" distR="114300" simplePos="0" relativeHeight="251665408" behindDoc="0" locked="0" layoutInCell="1" allowOverlap="1">
                <wp:simplePos x="0" y="0"/>
                <wp:positionH relativeFrom="column">
                  <wp:posOffset>1870710</wp:posOffset>
                </wp:positionH>
                <wp:positionV relativeFrom="paragraph">
                  <wp:posOffset>249555</wp:posOffset>
                </wp:positionV>
                <wp:extent cx="1852930" cy="0"/>
                <wp:effectExtent l="0" t="0" r="33655" b="19050"/>
                <wp:wrapNone/>
                <wp:docPr id="1" name="直接连接符 1"/>
                <wp:cNvGraphicFramePr/>
                <a:graphic xmlns:a="http://schemas.openxmlformats.org/drawingml/2006/main">
                  <a:graphicData uri="http://schemas.microsoft.com/office/word/2010/wordprocessingShape">
                    <wps:wsp>
                      <wps:cNvCnPr/>
                      <wps:spPr>
                        <a:xfrm flipV="1">
                          <a:off x="0" y="0"/>
                          <a:ext cx="1852613" cy="0"/>
                        </a:xfrm>
                        <a:prstGeom prst="line">
                          <a:avLst/>
                        </a:prstGeom>
                        <a:noFill/>
                        <a:ln w="12700" cap="flat" cmpd="sng" algn="ctr">
                          <a:solidFill>
                            <a:sysClr val="windowText" lastClr="000000"/>
                          </a:solidFill>
                          <a:prstDash val="solid"/>
                          <a:miter lim="800000"/>
                        </a:ln>
                        <a:effectLst/>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47.3pt;margin-top:19.65pt;height:0pt;width:145.9pt;z-index:251665408;mso-width-relative:page;mso-height-relative:page;" filled="f" stroked="t" coordsize="21600,21600" o:gfxdata="UEsDBAoAAAAAAIdO4kAAAAAAAAAAAAAAAAAEAAAAZHJzL1BLAwQUAAAACACHTuJAUGmo39cAAAAJ&#10;AQAADwAAAGRycy9kb3ducmV2LnhtbE2PwW6DMAyG75P6DpEr7bYGSocoI/SA1Fulrd20cyAusBEH&#10;JaGlb79MO6xH259+f3+xm/XALmhdb0hAvIqAITVG9dQK+HjfP2XAnJek5GAIBdzQwa5cPBQyV+ZK&#10;R7ycfMtCCLlcCui8H3POXdOhlm5lRqRwOxurpQ+jbbmy8hrC9cDXUZRyLXsKHzo5YtVh832atICe&#10;V3H9aavz2w2zxCevx6/DNAvxuIyjF2AeZ/8Pw69+UIcyONVmIuXYIGC93aQBFZBsE2ABeM7SDbD6&#10;b8HLgt83KH8AUEsDBBQAAAAIAIdO4kDWUpq//AEAAN4DAAAOAAAAZHJzL2Uyb0RvYy54bWytU81u&#10;EzEQviPxDpbvZLOpKNEqmx4alQuCSBTuU6+dteQ/edxs8hK8ABI3OHHkztvQPgZjbxqFcumhe7DG&#10;Hs83833+dnGxs4ZtZUTtXcvryZQz6YTvtNu0/NP11as5Z5jAdWC8ky3fS+QXy5cvFkNo5Mz33nQy&#10;MgJx2Ayh5X1KoakqFL20gBMfpKOk8tFCom3cVF2EgdCtqWbT6Xk1+NiF6IVEpNPVmOQHxPgUQK+U&#10;FnLlxa2VLo2oURpIRAl7HZAvy7RKSZE+KIUyMdNyYprKSk0ovslrtVxAs4kQei0OI8BTRnjEyYJ2&#10;1PQItYIE7Dbq/6CsFtGjV2kivK1GIkURYlFPH2nzsYcgCxeSGsNRdHw+WPF+u45Md+QEzhxYevC7&#10;r7/+fPl+//sbrXc/f7A6izQEbOjupVvHww7DOmbGOxUtU0aHzxkjnxArtisS748Sy11igg7r+evZ&#10;eX3GmXjIVSNELgwR01vpLctBy412mT00sH2HidrS1Ycr+dj5K21MeUHj2EDgszdTelgBZEtFdqDQ&#10;BqKGbsMZmA35XaRYINEb3eXyDIR7vDSRbYFMQk7t/HBN83JmABMliET5sg40wj+leZ4VYD8Wl9To&#10;KasT/SZG25bPT6uNyx1lseaBVdZ2VDNHN77bF5GrvKNnL00PFs2+Ot1TfPpbLv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Gmo39cAAAAJAQAADwAAAAAAAAABACAAAAAiAAAAZHJzL2Rvd25yZXYu&#10;eG1sUEsBAhQAFAAAAAgAh07iQNZSmr/8AQAA3gMAAA4AAAAAAAAAAQAgAAAAJgEAAGRycy9lMm9E&#10;b2MueG1sUEsFBgAAAAAGAAYAWQEAAJQFAAAAAA==&#10;">
                <v:fill on="f" focussize="0,0"/>
                <v:stroke weight="1pt" color="#000000 [3200]" miterlimit="8" joinstyle="miter"/>
                <v:imagedata o:title=""/>
                <o:lock v:ext="edit" aspectratio="f"/>
              </v:line>
            </w:pict>
          </mc:Fallback>
        </mc:AlternateContent>
      </w:r>
    </w:p>
    <w:p w14:paraId="690D5C33">
      <w:pPr>
        <w:rPr>
          <w:rFonts w:ascii="黑体" w:eastAsia="黑体"/>
        </w:rPr>
      </w:pPr>
    </w:p>
    <w:p w14:paraId="7940CC5A">
      <w:pPr>
        <w:rPr>
          <w:rFonts w:ascii="黑体" w:eastAsia="黑体"/>
        </w:rPr>
      </w:pPr>
    </w:p>
    <w:p w14:paraId="729EF2A0">
      <w:pPr>
        <w:rPr>
          <w:rFonts w:ascii="黑体" w:eastAsia="黑体"/>
        </w:rPr>
      </w:pPr>
    </w:p>
    <w:p w14:paraId="668C2E5F">
      <w:pPr>
        <w:rPr>
          <w:rFonts w:ascii="黑体" w:eastAsia="黑体"/>
        </w:rPr>
      </w:pPr>
    </w:p>
    <w:sectPr>
      <w:headerReference r:id="rId16" w:type="default"/>
      <w:footerReference r:id="rId18" w:type="default"/>
      <w:headerReference r:id="rId17" w:type="even"/>
      <w:footerReference r:id="rId19" w:type="even"/>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2B37F">
    <w:pPr>
      <w:pStyle w:val="23"/>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F430D">
                          <w:pPr>
                            <w:pStyle w:val="2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AAF430D">
                    <w:pPr>
                      <w:pStyle w:val="2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5EEDB">
    <w:pPr>
      <w:pStyle w:val="53"/>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F844F2">
                          <w:pPr>
                            <w:pStyle w:val="5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CF844F2">
                    <w:pPr>
                      <w:pStyle w:val="5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4873E">
    <w:pPr>
      <w:pStyle w:val="23"/>
      <w:jc w:val="left"/>
      <w:rPr>
        <w:rFonts w:ascii="宋体" w:hAnsi="宋体"/>
      </w:rPr>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7600"/>
                          </w:sdtPr>
                          <w:sdtEndPr>
                            <w:rPr>
                              <w:rFonts w:ascii="宋体" w:hAnsi="宋体"/>
                            </w:rPr>
                          </w:sdtEndPr>
                          <w:sdtContent>
                            <w:p w14:paraId="2905C864">
                              <w:pPr>
                                <w:pStyle w:val="23"/>
                                <w:jc w:val="lef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sdtContent>
                        </w:sdt>
                        <w:p w14:paraId="154DFEDD">
                          <w:pPr>
                            <w:rPr>
                              <w:rFonts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sdt>
                    <w:sdtPr>
                      <w:id w:val="147467600"/>
                    </w:sdtPr>
                    <w:sdtEndPr>
                      <w:rPr>
                        <w:rFonts w:ascii="宋体" w:hAnsi="宋体"/>
                      </w:rPr>
                    </w:sdtEndPr>
                    <w:sdtContent>
                      <w:p w14:paraId="2905C864">
                        <w:pPr>
                          <w:pStyle w:val="23"/>
                          <w:jc w:val="left"/>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sdtContent>
                  </w:sdt>
                  <w:p w14:paraId="154DFEDD">
                    <w:pPr>
                      <w:rPr>
                        <w:rFonts w:ascii="宋体" w:hAnsi="宋体"/>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B002B">
    <w:pPr>
      <w:pStyle w:val="23"/>
      <w:rPr>
        <w:rFonts w:ascii="宋体" w:hAnsi="宋体"/>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0143"/>
                          </w:sdtPr>
                          <w:sdtEndPr>
                            <w:rPr>
                              <w:rFonts w:ascii="宋体" w:hAnsi="宋体"/>
                            </w:rPr>
                          </w:sdtEndPr>
                          <w:sdtContent>
                            <w:p w14:paraId="197F515B">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II</w:t>
                              </w:r>
                              <w:r>
                                <w:rPr>
                                  <w:rFonts w:ascii="宋体" w:hAnsi="宋体"/>
                                </w:rPr>
                                <w:fldChar w:fldCharType="end"/>
                              </w:r>
                            </w:p>
                          </w:sdtContent>
                        </w:sdt>
                        <w:p w14:paraId="040458F5">
                          <w:pPr>
                            <w:rPr>
                              <w:rFonts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147460143"/>
                    </w:sdtPr>
                    <w:sdtEndPr>
                      <w:rPr>
                        <w:rFonts w:ascii="宋体" w:hAnsi="宋体"/>
                      </w:rPr>
                    </w:sdtEndPr>
                    <w:sdtContent>
                      <w:p w14:paraId="197F515B">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II</w:t>
                        </w:r>
                        <w:r>
                          <w:rPr>
                            <w:rFonts w:ascii="宋体" w:hAnsi="宋体"/>
                          </w:rPr>
                          <w:fldChar w:fldCharType="end"/>
                        </w:r>
                      </w:p>
                    </w:sdtContent>
                  </w:sdt>
                  <w:p w14:paraId="040458F5">
                    <w:pPr>
                      <w:rPr>
                        <w:rFonts w:ascii="宋体" w:hAnsi="宋体"/>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F6CCC">
    <w:pPr>
      <w:pStyle w:val="23"/>
      <w:rPr>
        <w:rFonts w:ascii="宋体" w:hAnsi="宋体"/>
      </w:rPr>
    </w:pPr>
    <w:r>
      <w:rPr>
        <w:rFonts w:hint="eastAsia" w:ascii="宋体" w:hAnsi="宋体"/>
      </w:rPr>
      <w:t>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49371">
    <w:pPr>
      <w:pStyle w:val="53"/>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2A188">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272A188">
                    <w:pPr>
                      <w:pStyle w:val="5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0AE3E">
    <w:pPr>
      <w:pStyle w:val="23"/>
      <w:rPr>
        <w:rFonts w:ascii="宋体" w:hAnsi="宋体"/>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2445"/>
                          </w:sdtPr>
                          <w:sdtEndPr>
                            <w:rPr>
                              <w:rFonts w:ascii="宋体" w:hAnsi="宋体"/>
                            </w:rPr>
                          </w:sdtEndPr>
                          <w:sdtContent>
                            <w:p w14:paraId="48202118">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II</w:t>
                              </w:r>
                              <w:r>
                                <w:rPr>
                                  <w:rFonts w:ascii="宋体" w:hAnsi="宋体"/>
                                </w:rPr>
                                <w:fldChar w:fldCharType="end"/>
                              </w:r>
                            </w:p>
                          </w:sdtContent>
                        </w:sdt>
                        <w:p w14:paraId="7A3B9062">
                          <w:pPr>
                            <w:rPr>
                              <w:rFonts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sdt>
                    <w:sdtPr>
                      <w:id w:val="147452445"/>
                    </w:sdtPr>
                    <w:sdtEndPr>
                      <w:rPr>
                        <w:rFonts w:ascii="宋体" w:hAnsi="宋体"/>
                      </w:rPr>
                    </w:sdtEndPr>
                    <w:sdtContent>
                      <w:p w14:paraId="48202118">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II</w:t>
                        </w:r>
                        <w:r>
                          <w:rPr>
                            <w:rFonts w:ascii="宋体" w:hAnsi="宋体"/>
                          </w:rPr>
                          <w:fldChar w:fldCharType="end"/>
                        </w:r>
                      </w:p>
                    </w:sdtContent>
                  </w:sdt>
                  <w:p w14:paraId="7A3B9062">
                    <w:pPr>
                      <w:rPr>
                        <w:rFonts w:ascii="宋体" w:hAnsi="宋体"/>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BA83F">
    <w:pPr>
      <w:pStyle w:val="23"/>
      <w:rPr>
        <w:rFonts w:ascii="宋体" w:hAnsi="宋体"/>
      </w:rPr>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1D72E5">
                          <w:pPr>
                            <w:pStyle w:val="2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31D72E5">
                    <w:pPr>
                      <w:pStyle w:val="23"/>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ascii="宋体" w:hAnsi="宋体"/>
      </w:rPr>
      <w:t>I</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1B651">
    <w:pPr>
      <w:pStyle w:val="53"/>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E571C4">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2E571C4">
                    <w:pPr>
                      <w:pStyle w:val="5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F3991">
    <w:pPr>
      <w:pStyle w:val="23"/>
      <w:rPr>
        <w:rFonts w:ascii="宋体" w:hAnsi="宋体"/>
      </w:rPr>
    </w:pP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1868"/>
                          </w:sdtPr>
                          <w:sdtEndPr>
                            <w:rPr>
                              <w:rFonts w:ascii="宋体" w:hAnsi="宋体"/>
                            </w:rPr>
                          </w:sdtEndPr>
                          <w:sdtContent>
                            <w:p w14:paraId="1242B47D">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IV</w:t>
                              </w:r>
                              <w:r>
                                <w:rPr>
                                  <w:rFonts w:ascii="宋体" w:hAnsi="宋体"/>
                                </w:rPr>
                                <w:fldChar w:fldCharType="end"/>
                              </w:r>
                            </w:p>
                          </w:sdtContent>
                        </w:sdt>
                        <w:p w14:paraId="503A9512">
                          <w:pPr>
                            <w:rPr>
                              <w:rFonts w:ascii="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sdt>
                    <w:sdtPr>
                      <w:id w:val="147461868"/>
                    </w:sdtPr>
                    <w:sdtEndPr>
                      <w:rPr>
                        <w:rFonts w:ascii="宋体" w:hAnsi="宋体"/>
                      </w:rPr>
                    </w:sdtEndPr>
                    <w:sdtContent>
                      <w:p w14:paraId="1242B47D">
                        <w:pPr>
                          <w:pStyle w:val="23"/>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IV</w:t>
                        </w:r>
                        <w:r>
                          <w:rPr>
                            <w:rFonts w:ascii="宋体" w:hAnsi="宋体"/>
                          </w:rPr>
                          <w:fldChar w:fldCharType="end"/>
                        </w:r>
                      </w:p>
                    </w:sdtContent>
                  </w:sdt>
                  <w:p w14:paraId="503A9512">
                    <w:pPr>
                      <w:rPr>
                        <w:rFonts w:ascii="宋体" w:hAnsi="宋体"/>
                      </w:rPr>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9D463">
    <w:pPr>
      <w:pStyle w:val="23"/>
      <w:rPr>
        <w:rFonts w:ascii="宋体" w:hAnsi="宋体"/>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FF196">
                          <w:pPr>
                            <w:pStyle w:val="23"/>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334FF196">
                    <w:pPr>
                      <w:pStyle w:val="23"/>
                    </w:pPr>
                    <w:r>
                      <w:fldChar w:fldCharType="begin"/>
                    </w:r>
                    <w:r>
                      <w:instrText xml:space="preserve"> PAGE  \* MERGEFORMAT </w:instrText>
                    </w:r>
                    <w:r>
                      <w:fldChar w:fldCharType="separate"/>
                    </w:r>
                    <w:r>
                      <w:t>III</w:t>
                    </w:r>
                    <w:r>
                      <w:fldChar w:fldCharType="end"/>
                    </w:r>
                  </w:p>
                </w:txbxContent>
              </v:textbox>
            </v:shape>
          </w:pict>
        </mc:Fallback>
      </mc:AlternateContent>
    </w:r>
    <w:r>
      <w:rPr>
        <w:rFonts w:hint="eastAsia" w:ascii="宋体" w:hAnsi="宋体"/>
      </w:rPr>
      <w:t>I</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8C360">
    <w:pPr>
      <w:pStyle w:val="54"/>
      <w:rPr>
        <w:rFonts w:hAnsi="黑体"/>
      </w:rPr>
    </w:pPr>
    <w:r>
      <w:rPr>
        <w:rFonts w:hint="eastAsia" w:hAnsi="黑体"/>
      </w:rPr>
      <w:t>T</w:t>
    </w:r>
    <w:r>
      <w:rPr>
        <w:rFonts w:hAnsi="黑体"/>
      </w:rPr>
      <w:t>/</w:t>
    </w:r>
    <w:r>
      <w:rPr>
        <w:rFonts w:hint="eastAsia" w:hAnsi="黑体"/>
      </w:rPr>
      <w:t>CCMA ****-20</w:t>
    </w:r>
    <w:r>
      <w:rPr>
        <w:rFonts w:hAnsi="黑体"/>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D6A3B">
    <w:pPr>
      <w:pStyle w:val="54"/>
      <w:rPr>
        <w:rFonts w:hAnsi="黑体"/>
      </w:rPr>
    </w:pPr>
    <w:r>
      <w:rPr>
        <w:rFonts w:hint="eastAsia" w:hAnsi="黑体"/>
      </w:rPr>
      <w:t>T</w:t>
    </w:r>
    <w:r>
      <w:rPr>
        <w:rFonts w:hAnsi="黑体"/>
      </w:rPr>
      <w:t>/</w:t>
    </w:r>
    <w:r>
      <w:rPr>
        <w:rFonts w:hint="eastAsia" w:hAnsi="黑体"/>
      </w:rPr>
      <w:t>CCMA</w:t>
    </w:r>
    <w:r>
      <w:rPr>
        <w:rFonts w:hAnsi="黑体"/>
      </w:rPr>
      <w:t xml:space="preserve"> </w:t>
    </w:r>
    <w:r>
      <w:rPr>
        <w:rFonts w:hint="eastAsia" w:hAnsi="黑体"/>
      </w:rPr>
      <w:t>****-20</w:t>
    </w:r>
    <w:r>
      <w:rPr>
        <w:rFonts w:hAnsi="黑体"/>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95BD6">
    <w:pPr>
      <w:pStyle w:val="54"/>
      <w:rPr>
        <w:rFonts w:hAnsi="黑体"/>
      </w:rPr>
    </w:pPr>
    <w:r>
      <w:rPr>
        <w:rFonts w:hint="eastAsia" w:hAnsi="黑体"/>
      </w:rPr>
      <w:t>T</w:t>
    </w:r>
    <w:r>
      <w:rPr>
        <w:rFonts w:hAnsi="黑体"/>
      </w:rPr>
      <w:t>/</w:t>
    </w:r>
    <w:r>
      <w:rPr>
        <w:rFonts w:hint="eastAsia" w:hAnsi="黑体"/>
      </w:rPr>
      <w:t>CCMA</w:t>
    </w:r>
    <w:r>
      <w:rPr>
        <w:rFonts w:hAnsi="黑体"/>
      </w:rPr>
      <w:t xml:space="preserve"> </w:t>
    </w:r>
    <w:r>
      <w:rPr>
        <w:rFonts w:hint="eastAsia" w:hAnsi="黑体"/>
      </w:rPr>
      <w:t>0062</w:t>
    </w:r>
    <w:r>
      <w:rPr>
        <w:rFonts w:hAnsi="黑体"/>
      </w:rPr>
      <w:t>—</w:t>
    </w:r>
    <w:r>
      <w:rPr>
        <w:rFonts w:hint="eastAsia" w:hAnsi="黑体"/>
      </w:rPr>
      <w:t>2018</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DE33E">
    <w:pPr>
      <w:pStyle w:val="54"/>
      <w:rPr>
        <w:rFonts w:hAnsi="黑体"/>
      </w:rPr>
    </w:pPr>
    <w:r>
      <w:rPr>
        <w:rFonts w:hint="eastAsia" w:hAnsi="黑体"/>
      </w:rPr>
      <w:t>T</w:t>
    </w:r>
    <w:r>
      <w:rPr>
        <w:rFonts w:hAnsi="黑体"/>
      </w:rPr>
      <w:t>/</w:t>
    </w:r>
    <w:r>
      <w:rPr>
        <w:rFonts w:hint="eastAsia" w:hAnsi="黑体"/>
      </w:rPr>
      <w:t>CCMA</w:t>
    </w:r>
    <w:r>
      <w:rPr>
        <w:rFonts w:hAnsi="黑体"/>
      </w:rPr>
      <w:t xml:space="preserve"> </w:t>
    </w:r>
    <w:r>
      <w:rPr>
        <w:rFonts w:hint="eastAsia" w:hAnsi="黑体"/>
      </w:rPr>
      <w:t>0062</w:t>
    </w:r>
    <w:r>
      <w:rPr>
        <w:rFonts w:hAnsi="黑体"/>
      </w:rPr>
      <w:t>—</w:t>
    </w:r>
    <w:r>
      <w:rPr>
        <w:rFonts w:hint="eastAsia" w:hAnsi="黑体"/>
      </w:rPr>
      <w:t>2018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465FF">
    <w:pPr>
      <w:pStyle w:val="54"/>
      <w:rPr>
        <w:rFonts w:hAnsi="黑体"/>
      </w:rPr>
    </w:pPr>
    <w:r>
      <w:rPr>
        <w:rFonts w:hint="eastAsia" w:hAnsi="黑体"/>
      </w:rPr>
      <w:t>T</w:t>
    </w:r>
    <w:r>
      <w:rPr>
        <w:rFonts w:hAnsi="黑体"/>
      </w:rPr>
      <w:t>/</w:t>
    </w:r>
    <w:r>
      <w:rPr>
        <w:rFonts w:hint="eastAsia" w:hAnsi="黑体"/>
      </w:rPr>
      <w:t>CCMA ****-</w:t>
    </w:r>
    <w:r>
      <w:rPr>
        <w:rFonts w:hAnsi="黑体"/>
      </w:rPr>
      <w:t>20**</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05C4">
    <w:pPr>
      <w:pStyle w:val="54"/>
      <w:jc w:val="left"/>
      <w:rPr>
        <w:rFonts w:hAnsi="黑体"/>
      </w:rPr>
    </w:pPr>
    <w:r>
      <w:rPr>
        <w:rFonts w:hint="eastAsia" w:hAnsi="黑体"/>
      </w:rPr>
      <w:t>T</w:t>
    </w:r>
    <w:r>
      <w:rPr>
        <w:rFonts w:hAnsi="黑体"/>
      </w:rPr>
      <w:t>/</w:t>
    </w:r>
    <w:r>
      <w:rPr>
        <w:rFonts w:hint="eastAsia" w:hAnsi="黑体"/>
      </w:rPr>
      <w:t>CCMA</w:t>
    </w:r>
    <w:r>
      <w:rPr>
        <w:rFonts w:hAnsi="黑体"/>
      </w:rPr>
      <w:t xml:space="preserve"> ****—</w:t>
    </w:r>
    <w:r>
      <w:rPr>
        <w:rFonts w:hint="eastAsia" w:hAnsi="黑体"/>
      </w:rPr>
      <w:t>20</w:t>
    </w:r>
    <w:r>
      <w:rPr>
        <w:rFonts w:hAnsi="黑体"/>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95045C"/>
    <w:multiLevelType w:val="multilevel"/>
    <w:tmpl w:val="0495045C"/>
    <w:lvl w:ilvl="0" w:tentative="0">
      <w:start w:val="1"/>
      <w:numFmt w:val="lowerLetter"/>
      <w:lvlText w:val="%1)"/>
      <w:lvlJc w:val="left"/>
      <w:pPr>
        <w:ind w:left="803" w:hanging="360"/>
      </w:pPr>
      <w:rPr>
        <w:rFonts w:hint="default"/>
      </w:rPr>
    </w:lvl>
    <w:lvl w:ilvl="1" w:tentative="0">
      <w:start w:val="1"/>
      <w:numFmt w:val="lowerLetter"/>
      <w:lvlText w:val="%2)"/>
      <w:lvlJc w:val="left"/>
      <w:pPr>
        <w:ind w:left="988" w:hanging="420"/>
      </w:pPr>
      <w:rPr>
        <w:rFonts w:asciiTheme="minorEastAsia" w:hAnsiTheme="minorEastAsia" w:eastAsiaTheme="minorEastAsia"/>
        <w:strike w:val="0"/>
      </w:rPr>
    </w:lvl>
    <w:lvl w:ilvl="2" w:tentative="0">
      <w:start w:val="1"/>
      <w:numFmt w:val="lowerRoman"/>
      <w:lvlText w:val="%3."/>
      <w:lvlJc w:val="right"/>
      <w:pPr>
        <w:ind w:left="1703" w:hanging="420"/>
      </w:pPr>
    </w:lvl>
    <w:lvl w:ilvl="3" w:tentative="0">
      <w:start w:val="1"/>
      <w:numFmt w:val="decimal"/>
      <w:lvlText w:val="%4."/>
      <w:lvlJc w:val="left"/>
      <w:pPr>
        <w:ind w:left="2123" w:hanging="420"/>
      </w:pPr>
    </w:lvl>
    <w:lvl w:ilvl="4" w:tentative="0">
      <w:start w:val="1"/>
      <w:numFmt w:val="lowerLetter"/>
      <w:lvlText w:val="%5)"/>
      <w:lvlJc w:val="left"/>
      <w:pPr>
        <w:ind w:left="2543" w:hanging="420"/>
      </w:pPr>
      <w:rPr>
        <w:rFonts w:ascii="宋体" w:hAnsi="宋体" w:eastAsia="宋体" w:cs="Times New Roman"/>
      </w:rPr>
    </w:lvl>
    <w:lvl w:ilvl="5" w:tentative="0">
      <w:start w:val="1"/>
      <w:numFmt w:val="lowerRoman"/>
      <w:lvlText w:val="%6."/>
      <w:lvlJc w:val="right"/>
      <w:pPr>
        <w:ind w:left="2963" w:hanging="420"/>
      </w:pPr>
    </w:lvl>
    <w:lvl w:ilvl="6" w:tentative="0">
      <w:start w:val="1"/>
      <w:numFmt w:val="decimal"/>
      <w:lvlText w:val="%7."/>
      <w:lvlJc w:val="left"/>
      <w:pPr>
        <w:ind w:left="3383" w:hanging="420"/>
      </w:pPr>
    </w:lvl>
    <w:lvl w:ilvl="7" w:tentative="0">
      <w:start w:val="1"/>
      <w:numFmt w:val="lowerLetter"/>
      <w:lvlText w:val="%8)"/>
      <w:lvlJc w:val="left"/>
      <w:pPr>
        <w:ind w:left="3803" w:hanging="420"/>
      </w:pPr>
    </w:lvl>
    <w:lvl w:ilvl="8" w:tentative="0">
      <w:start w:val="1"/>
      <w:numFmt w:val="lowerRoman"/>
      <w:lvlText w:val="%9."/>
      <w:lvlJc w:val="right"/>
      <w:pPr>
        <w:ind w:left="4223" w:hanging="420"/>
      </w:pPr>
    </w:lvl>
  </w:abstractNum>
  <w:abstractNum w:abstractNumId="1">
    <w:nsid w:val="1DBF583A"/>
    <w:multiLevelType w:val="multilevel"/>
    <w:tmpl w:val="1DBF583A"/>
    <w:lvl w:ilvl="0" w:tentative="0">
      <w:start w:val="1"/>
      <w:numFmt w:val="decimal"/>
      <w:pStyle w:val="75"/>
      <w:suff w:val="nothing"/>
      <w:lvlText w:val="注%1："/>
      <w:lvlJc w:val="left"/>
      <w:pPr>
        <w:ind w:left="448"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
    <w:nsid w:val="1FC91163"/>
    <w:multiLevelType w:val="multilevel"/>
    <w:tmpl w:val="1FC91163"/>
    <w:lvl w:ilvl="0" w:tentative="0">
      <w:start w:val="1"/>
      <w:numFmt w:val="decimal"/>
      <w:pStyle w:val="55"/>
      <w:suff w:val="nothing"/>
      <w:lvlText w:val="%1　"/>
      <w:lvlJc w:val="left"/>
      <w:pPr>
        <w:ind w:left="993"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6"/>
      <w:suff w:val="nothing"/>
      <w:lvlText w:val="%1.%2.%3　"/>
      <w:lvlJc w:val="left"/>
      <w:pPr>
        <w:ind w:left="4537" w:firstLine="0"/>
      </w:pPr>
      <w:rPr>
        <w:rFonts w:hint="eastAsia" w:ascii="黑体" w:hAnsi="Times New Roman" w:eastAsia="黑体"/>
        <w:b w:val="0"/>
        <w:i w:val="0"/>
        <w:sz w:val="21"/>
      </w:rPr>
    </w:lvl>
    <w:lvl w:ilvl="3" w:tentative="0">
      <w:start w:val="1"/>
      <w:numFmt w:val="decimal"/>
      <w:pStyle w:val="61"/>
      <w:suff w:val="nothing"/>
      <w:lvlText w:val="%1.%2.%3.%4　"/>
      <w:lvlJc w:val="left"/>
      <w:pPr>
        <w:ind w:left="0" w:firstLine="0"/>
      </w:pPr>
      <w:rPr>
        <w:rFonts w:hint="eastAsia" w:ascii="黑体" w:hAnsi="Times New Roman" w:eastAsia="黑体"/>
        <w:b w:val="0"/>
        <w:i w:val="0"/>
        <w:sz w:val="21"/>
      </w:rPr>
    </w:lvl>
    <w:lvl w:ilvl="4" w:tentative="0">
      <w:start w:val="1"/>
      <w:numFmt w:val="decimal"/>
      <w:pStyle w:val="65"/>
      <w:suff w:val="nothing"/>
      <w:lvlText w:val="%1.%2.%3.%4.%5　"/>
      <w:lvlJc w:val="left"/>
      <w:pPr>
        <w:ind w:left="0" w:firstLine="0"/>
      </w:pPr>
      <w:rPr>
        <w:rFonts w:hint="eastAsia" w:ascii="黑体" w:hAnsi="Times New Roman" w:eastAsia="黑体"/>
        <w:b w:val="0"/>
        <w:i w:val="0"/>
        <w:sz w:val="21"/>
      </w:rPr>
    </w:lvl>
    <w:lvl w:ilvl="5" w:tentative="0">
      <w:start w:val="1"/>
      <w:numFmt w:val="decimal"/>
      <w:pStyle w:val="6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6EA0865"/>
    <w:multiLevelType w:val="multilevel"/>
    <w:tmpl w:val="26EA0865"/>
    <w:lvl w:ilvl="0" w:tentative="0">
      <w:start w:val="1"/>
      <w:numFmt w:val="lowerLetter"/>
      <w:lvlText w:val="%1)"/>
      <w:lvlJc w:val="left"/>
      <w:pPr>
        <w:ind w:left="1240" w:hanging="360"/>
      </w:pPr>
      <w:rPr>
        <w:rFonts w:hint="default"/>
      </w:rPr>
    </w:lvl>
    <w:lvl w:ilvl="1" w:tentative="0">
      <w:start w:val="1"/>
      <w:numFmt w:val="lowerLetter"/>
      <w:lvlText w:val="%2)"/>
      <w:lvlJc w:val="left"/>
      <w:pPr>
        <w:ind w:left="1720" w:hanging="420"/>
      </w:pPr>
    </w:lvl>
    <w:lvl w:ilvl="2" w:tentative="0">
      <w:start w:val="1"/>
      <w:numFmt w:val="lowerRoman"/>
      <w:lvlText w:val="%3."/>
      <w:lvlJc w:val="right"/>
      <w:pPr>
        <w:ind w:left="2140" w:hanging="420"/>
      </w:pPr>
    </w:lvl>
    <w:lvl w:ilvl="3" w:tentative="0">
      <w:start w:val="1"/>
      <w:numFmt w:val="decimal"/>
      <w:lvlText w:val="%4."/>
      <w:lvlJc w:val="left"/>
      <w:pPr>
        <w:ind w:left="2560" w:hanging="420"/>
      </w:pPr>
    </w:lvl>
    <w:lvl w:ilvl="4" w:tentative="0">
      <w:start w:val="1"/>
      <w:numFmt w:val="lowerLetter"/>
      <w:lvlText w:val="%5)"/>
      <w:lvlJc w:val="left"/>
      <w:pPr>
        <w:ind w:left="2980" w:hanging="420"/>
      </w:pPr>
    </w:lvl>
    <w:lvl w:ilvl="5" w:tentative="0">
      <w:start w:val="1"/>
      <w:numFmt w:val="lowerRoman"/>
      <w:lvlText w:val="%6."/>
      <w:lvlJc w:val="right"/>
      <w:pPr>
        <w:ind w:left="3400" w:hanging="420"/>
      </w:pPr>
    </w:lvl>
    <w:lvl w:ilvl="6" w:tentative="0">
      <w:start w:val="1"/>
      <w:numFmt w:val="decimal"/>
      <w:lvlText w:val="%7."/>
      <w:lvlJc w:val="left"/>
      <w:pPr>
        <w:ind w:left="3820" w:hanging="420"/>
      </w:pPr>
    </w:lvl>
    <w:lvl w:ilvl="7" w:tentative="0">
      <w:start w:val="1"/>
      <w:numFmt w:val="lowerLetter"/>
      <w:lvlText w:val="%8)"/>
      <w:lvlJc w:val="left"/>
      <w:pPr>
        <w:ind w:left="4240" w:hanging="420"/>
      </w:pPr>
    </w:lvl>
    <w:lvl w:ilvl="8" w:tentative="0">
      <w:start w:val="1"/>
      <w:numFmt w:val="lowerRoman"/>
      <w:lvlText w:val="%9."/>
      <w:lvlJc w:val="right"/>
      <w:pPr>
        <w:ind w:left="4660" w:hanging="420"/>
      </w:pPr>
    </w:lvl>
  </w:abstractNum>
  <w:abstractNum w:abstractNumId="4">
    <w:nsid w:val="2A8F7113"/>
    <w:multiLevelType w:val="multilevel"/>
    <w:tmpl w:val="2A8F7113"/>
    <w:lvl w:ilvl="0" w:tentative="0">
      <w:start w:val="1"/>
      <w:numFmt w:val="upperLetter"/>
      <w:pStyle w:val="108"/>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7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6">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7">
    <w:nsid w:val="44C50F90"/>
    <w:multiLevelType w:val="multilevel"/>
    <w:tmpl w:val="44C50F90"/>
    <w:lvl w:ilvl="0" w:tentative="0">
      <w:start w:val="1"/>
      <w:numFmt w:val="lowerLetter"/>
      <w:pStyle w:val="6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64"/>
      <w:lvlText w:val="%2)"/>
      <w:lvlJc w:val="left"/>
      <w:pPr>
        <w:tabs>
          <w:tab w:val="left" w:pos="1260"/>
        </w:tabs>
        <w:ind w:left="1259" w:hanging="419"/>
      </w:pPr>
      <w:rPr>
        <w:rFonts w:hint="eastAsia"/>
      </w:rPr>
    </w:lvl>
    <w:lvl w:ilvl="2" w:tentative="0">
      <w:start w:val="1"/>
      <w:numFmt w:val="decimal"/>
      <w:pStyle w:val="71"/>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60B55DC2"/>
    <w:multiLevelType w:val="multilevel"/>
    <w:tmpl w:val="60B55DC2"/>
    <w:lvl w:ilvl="0" w:tentative="0">
      <w:start w:val="1"/>
      <w:numFmt w:val="upperLetter"/>
      <w:pStyle w:val="96"/>
      <w:lvlText w:val="%1"/>
      <w:lvlJc w:val="left"/>
      <w:pPr>
        <w:tabs>
          <w:tab w:val="left" w:pos="0"/>
        </w:tabs>
        <w:ind w:left="0" w:hanging="425"/>
      </w:pPr>
      <w:rPr>
        <w:rFonts w:hint="eastAsia"/>
      </w:rPr>
    </w:lvl>
    <w:lvl w:ilvl="1" w:tentative="0">
      <w:start w:val="1"/>
      <w:numFmt w:val="decimal"/>
      <w:pStyle w:val="9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4B5358"/>
    <w:multiLevelType w:val="multilevel"/>
    <w:tmpl w:val="644B5358"/>
    <w:lvl w:ilvl="0" w:tentative="0">
      <w:start w:val="1"/>
      <w:numFmt w:val="lowerLetter"/>
      <w:lvlText w:val="%1)"/>
      <w:lvlJc w:val="left"/>
      <w:pPr>
        <w:ind w:left="803" w:hanging="360"/>
      </w:pPr>
      <w:rPr>
        <w:rFonts w:hint="default"/>
      </w:rPr>
    </w:lvl>
    <w:lvl w:ilvl="1" w:tentative="0">
      <w:start w:val="1"/>
      <w:numFmt w:val="lowerLetter"/>
      <w:lvlText w:val="%2)"/>
      <w:lvlJc w:val="left"/>
      <w:pPr>
        <w:ind w:left="1283" w:hanging="420"/>
      </w:pPr>
    </w:lvl>
    <w:lvl w:ilvl="2" w:tentative="0">
      <w:start w:val="1"/>
      <w:numFmt w:val="lowerRoman"/>
      <w:lvlText w:val="%3."/>
      <w:lvlJc w:val="right"/>
      <w:pPr>
        <w:ind w:left="1703" w:hanging="420"/>
      </w:pPr>
    </w:lvl>
    <w:lvl w:ilvl="3" w:tentative="0">
      <w:start w:val="1"/>
      <w:numFmt w:val="decimal"/>
      <w:lvlText w:val="%4."/>
      <w:lvlJc w:val="left"/>
      <w:pPr>
        <w:ind w:left="2123" w:hanging="420"/>
      </w:pPr>
    </w:lvl>
    <w:lvl w:ilvl="4" w:tentative="0">
      <w:start w:val="1"/>
      <w:numFmt w:val="lowerLetter"/>
      <w:lvlText w:val="%5)"/>
      <w:lvlJc w:val="left"/>
      <w:pPr>
        <w:ind w:left="2543" w:hanging="420"/>
      </w:pPr>
    </w:lvl>
    <w:lvl w:ilvl="5" w:tentative="0">
      <w:start w:val="1"/>
      <w:numFmt w:val="lowerRoman"/>
      <w:lvlText w:val="%6."/>
      <w:lvlJc w:val="right"/>
      <w:pPr>
        <w:ind w:left="2963" w:hanging="420"/>
      </w:pPr>
    </w:lvl>
    <w:lvl w:ilvl="6" w:tentative="0">
      <w:start w:val="1"/>
      <w:numFmt w:val="decimal"/>
      <w:lvlText w:val="%7."/>
      <w:lvlJc w:val="left"/>
      <w:pPr>
        <w:ind w:left="3383" w:hanging="420"/>
      </w:pPr>
    </w:lvl>
    <w:lvl w:ilvl="7" w:tentative="0">
      <w:start w:val="1"/>
      <w:numFmt w:val="lowerLetter"/>
      <w:lvlText w:val="%8)"/>
      <w:lvlJc w:val="left"/>
      <w:pPr>
        <w:ind w:left="3803" w:hanging="420"/>
      </w:pPr>
    </w:lvl>
    <w:lvl w:ilvl="8" w:tentative="0">
      <w:start w:val="1"/>
      <w:numFmt w:val="lowerRoman"/>
      <w:lvlText w:val="%9."/>
      <w:lvlJc w:val="right"/>
      <w:pPr>
        <w:ind w:left="4223" w:hanging="420"/>
      </w:pPr>
    </w:lvl>
  </w:abstractNum>
  <w:abstractNum w:abstractNumId="10">
    <w:nsid w:val="646260FA"/>
    <w:multiLevelType w:val="multilevel"/>
    <w:tmpl w:val="646260FA"/>
    <w:lvl w:ilvl="0" w:tentative="0">
      <w:start w:val="1"/>
      <w:numFmt w:val="decimal"/>
      <w:pStyle w:val="136"/>
      <w:suff w:val="nothing"/>
      <w:lvlText w:val="表%1　"/>
      <w:lvlJc w:val="left"/>
      <w:pPr>
        <w:ind w:left="4111" w:firstLine="0"/>
      </w:pPr>
      <w:rPr>
        <w:rFonts w:hint="eastAsia" w:ascii="黑体" w:hAnsi="Times New Roman" w:eastAsia="黑体"/>
        <w:b w:val="0"/>
        <w:i w:val="0"/>
        <w:sz w:val="21"/>
        <w:lang w:val="en-US"/>
      </w:rPr>
    </w:lvl>
    <w:lvl w:ilvl="1" w:tentative="0">
      <w:start w:val="1"/>
      <w:numFmt w:val="decimal"/>
      <w:lvlText w:val="%1.%2"/>
      <w:lvlJc w:val="left"/>
      <w:pPr>
        <w:tabs>
          <w:tab w:val="left" w:pos="5103"/>
        </w:tabs>
        <w:ind w:left="5103" w:hanging="567"/>
      </w:pPr>
      <w:rPr>
        <w:rFonts w:hint="eastAsia"/>
      </w:rPr>
    </w:lvl>
    <w:lvl w:ilvl="2" w:tentative="0">
      <w:start w:val="1"/>
      <w:numFmt w:val="decimal"/>
      <w:lvlText w:val="%1.%2.%3"/>
      <w:lvlJc w:val="left"/>
      <w:pPr>
        <w:tabs>
          <w:tab w:val="left" w:pos="5529"/>
        </w:tabs>
        <w:ind w:left="5529" w:hanging="567"/>
      </w:pPr>
      <w:rPr>
        <w:rFonts w:hint="eastAsia"/>
      </w:rPr>
    </w:lvl>
    <w:lvl w:ilvl="3" w:tentative="0">
      <w:start w:val="1"/>
      <w:numFmt w:val="decimal"/>
      <w:lvlText w:val="%1.%2.%3.%4"/>
      <w:lvlJc w:val="left"/>
      <w:pPr>
        <w:tabs>
          <w:tab w:val="left" w:pos="6095"/>
        </w:tabs>
        <w:ind w:left="6095" w:hanging="708"/>
      </w:pPr>
      <w:rPr>
        <w:rFonts w:hint="eastAsia"/>
      </w:rPr>
    </w:lvl>
    <w:lvl w:ilvl="4" w:tentative="0">
      <w:start w:val="1"/>
      <w:numFmt w:val="decimal"/>
      <w:lvlText w:val="%1.%2.%3.%4.%5"/>
      <w:lvlJc w:val="left"/>
      <w:pPr>
        <w:tabs>
          <w:tab w:val="left" w:pos="6662"/>
        </w:tabs>
        <w:ind w:left="6662" w:hanging="850"/>
      </w:pPr>
      <w:rPr>
        <w:rFonts w:hint="eastAsia"/>
      </w:rPr>
    </w:lvl>
    <w:lvl w:ilvl="5" w:tentative="0">
      <w:start w:val="1"/>
      <w:numFmt w:val="decimal"/>
      <w:lvlText w:val="%1.%2.%3.%4.%5.%6"/>
      <w:lvlJc w:val="left"/>
      <w:pPr>
        <w:tabs>
          <w:tab w:val="left" w:pos="7371"/>
        </w:tabs>
        <w:ind w:left="7371" w:hanging="1134"/>
      </w:pPr>
      <w:rPr>
        <w:rFonts w:hint="eastAsia"/>
      </w:rPr>
    </w:lvl>
    <w:lvl w:ilvl="6" w:tentative="0">
      <w:start w:val="1"/>
      <w:numFmt w:val="decimal"/>
      <w:lvlText w:val="%1.%2.%3.%4.%5.%6.%7"/>
      <w:lvlJc w:val="left"/>
      <w:pPr>
        <w:tabs>
          <w:tab w:val="left" w:pos="7938"/>
        </w:tabs>
        <w:ind w:left="7938" w:hanging="1276"/>
      </w:pPr>
      <w:rPr>
        <w:rFonts w:hint="eastAsia"/>
      </w:rPr>
    </w:lvl>
    <w:lvl w:ilvl="7" w:tentative="0">
      <w:start w:val="1"/>
      <w:numFmt w:val="decimal"/>
      <w:lvlText w:val="%1.%2.%3.%4.%5.%6.%7.%8"/>
      <w:lvlJc w:val="left"/>
      <w:pPr>
        <w:tabs>
          <w:tab w:val="left" w:pos="8505"/>
        </w:tabs>
        <w:ind w:left="8505" w:hanging="1418"/>
      </w:pPr>
      <w:rPr>
        <w:rFonts w:hint="eastAsia"/>
      </w:rPr>
    </w:lvl>
    <w:lvl w:ilvl="8" w:tentative="0">
      <w:start w:val="1"/>
      <w:numFmt w:val="decimal"/>
      <w:lvlText w:val="%1.%2.%3.%4.%5.%6.%7.%8.%9"/>
      <w:lvlJc w:val="left"/>
      <w:pPr>
        <w:tabs>
          <w:tab w:val="left" w:pos="9213"/>
        </w:tabs>
        <w:ind w:left="9213" w:hanging="1700"/>
      </w:pPr>
      <w:rPr>
        <w:rFonts w:hint="eastAsia"/>
      </w:rPr>
    </w:lvl>
  </w:abstractNum>
  <w:abstractNum w:abstractNumId="11">
    <w:nsid w:val="657D3FBC"/>
    <w:multiLevelType w:val="multilevel"/>
    <w:tmpl w:val="657D3FBC"/>
    <w:lvl w:ilvl="0" w:tentative="0">
      <w:start w:val="1"/>
      <w:numFmt w:val="upperLetter"/>
      <w:pStyle w:val="9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3"/>
      <w:suff w:val="nothing"/>
      <w:lvlText w:val="%1.%2.%3　"/>
      <w:lvlJc w:val="left"/>
      <w:pPr>
        <w:ind w:left="0" w:firstLine="0"/>
      </w:pPr>
      <w:rPr>
        <w:rFonts w:hint="eastAsia" w:ascii="黑体" w:hAnsi="Times New Roman" w:eastAsia="黑体"/>
        <w:b w:val="0"/>
        <w:i w:val="0"/>
        <w:sz w:val="21"/>
      </w:rPr>
    </w:lvl>
    <w:lvl w:ilvl="3" w:tentative="0">
      <w:start w:val="1"/>
      <w:numFmt w:val="decimal"/>
      <w:pStyle w:val="98"/>
      <w:suff w:val="nothing"/>
      <w:lvlText w:val="%1.%2.%3.%4　"/>
      <w:lvlJc w:val="left"/>
      <w:pPr>
        <w:ind w:left="0" w:firstLine="0"/>
      </w:pPr>
      <w:rPr>
        <w:rFonts w:hint="eastAsia" w:ascii="黑体" w:hAnsi="Times New Roman" w:eastAsia="黑体"/>
        <w:b w:val="0"/>
        <w:i w:val="0"/>
        <w:sz w:val="21"/>
      </w:rPr>
    </w:lvl>
    <w:lvl w:ilvl="4" w:tentative="0">
      <w:start w:val="1"/>
      <w:numFmt w:val="decimal"/>
      <w:pStyle w:val="103"/>
      <w:suff w:val="nothing"/>
      <w:lvlText w:val="%1.%2.%3.%4.%5　"/>
      <w:lvlJc w:val="left"/>
      <w:pPr>
        <w:ind w:left="0" w:firstLine="0"/>
      </w:pPr>
      <w:rPr>
        <w:rFonts w:hint="eastAsia" w:ascii="黑体" w:hAnsi="Times New Roman" w:eastAsia="黑体"/>
        <w:b w:val="0"/>
        <w:i w:val="0"/>
        <w:sz w:val="21"/>
      </w:rPr>
    </w:lvl>
    <w:lvl w:ilvl="5" w:tentative="0">
      <w:start w:val="1"/>
      <w:numFmt w:val="decimal"/>
      <w:pStyle w:val="106"/>
      <w:suff w:val="nothing"/>
      <w:lvlText w:val="%1.%2.%3.%4.%5.%6　"/>
      <w:lvlJc w:val="left"/>
      <w:pPr>
        <w:ind w:left="0" w:firstLine="0"/>
      </w:pPr>
      <w:rPr>
        <w:rFonts w:hint="eastAsia" w:ascii="黑体" w:hAnsi="Times New Roman" w:eastAsia="黑体"/>
        <w:b w:val="0"/>
        <w:i w:val="0"/>
        <w:sz w:val="21"/>
      </w:rPr>
    </w:lvl>
    <w:lvl w:ilvl="6" w:tentative="0">
      <w:start w:val="1"/>
      <w:numFmt w:val="decimal"/>
      <w:pStyle w:val="11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D6C07CD"/>
    <w:multiLevelType w:val="multilevel"/>
    <w:tmpl w:val="6D6C07CD"/>
    <w:lvl w:ilvl="0" w:tentative="0">
      <w:start w:val="1"/>
      <w:numFmt w:val="lowerLetter"/>
      <w:pStyle w:val="115"/>
      <w:lvlText w:val="%1)"/>
      <w:lvlJc w:val="left"/>
      <w:pPr>
        <w:tabs>
          <w:tab w:val="left" w:pos="839"/>
        </w:tabs>
        <w:ind w:left="839" w:hanging="419"/>
      </w:pPr>
      <w:rPr>
        <w:rFonts w:hint="eastAsia" w:ascii="宋体" w:eastAsia="宋体"/>
        <w:b w:val="0"/>
        <w:i w:val="0"/>
        <w:sz w:val="21"/>
      </w:rPr>
    </w:lvl>
    <w:lvl w:ilvl="1" w:tentative="0">
      <w:start w:val="1"/>
      <w:numFmt w:val="decimal"/>
      <w:pStyle w:val="10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3">
    <w:nsid w:val="70217F10"/>
    <w:multiLevelType w:val="multilevel"/>
    <w:tmpl w:val="70217F10"/>
    <w:lvl w:ilvl="0" w:tentative="0">
      <w:start w:val="1"/>
      <w:numFmt w:val="lowerLetter"/>
      <w:lvlText w:val="%1)"/>
      <w:lvlJc w:val="left"/>
      <w:pPr>
        <w:ind w:left="803" w:hanging="360"/>
      </w:pPr>
      <w:rPr>
        <w:rFonts w:hint="default"/>
      </w:rPr>
    </w:lvl>
    <w:lvl w:ilvl="1" w:tentative="0">
      <w:start w:val="1"/>
      <w:numFmt w:val="lowerLetter"/>
      <w:lvlText w:val="%2)"/>
      <w:lvlJc w:val="left"/>
      <w:pPr>
        <w:ind w:left="988" w:hanging="420"/>
      </w:pPr>
      <w:rPr>
        <w:rFonts w:ascii="宋体" w:hAnsi="宋体" w:eastAsia="宋体"/>
        <w:strike w:val="0"/>
      </w:rPr>
    </w:lvl>
    <w:lvl w:ilvl="2" w:tentative="0">
      <w:start w:val="1"/>
      <w:numFmt w:val="lowerRoman"/>
      <w:lvlText w:val="%3."/>
      <w:lvlJc w:val="right"/>
      <w:pPr>
        <w:ind w:left="1703" w:hanging="420"/>
      </w:pPr>
    </w:lvl>
    <w:lvl w:ilvl="3" w:tentative="0">
      <w:start w:val="1"/>
      <w:numFmt w:val="decimal"/>
      <w:lvlText w:val="%4."/>
      <w:lvlJc w:val="left"/>
      <w:pPr>
        <w:ind w:left="2123" w:hanging="420"/>
      </w:pPr>
    </w:lvl>
    <w:lvl w:ilvl="4" w:tentative="0">
      <w:start w:val="1"/>
      <w:numFmt w:val="lowerLetter"/>
      <w:lvlText w:val="%5)"/>
      <w:lvlJc w:val="left"/>
      <w:pPr>
        <w:ind w:left="2543" w:hanging="420"/>
      </w:pPr>
    </w:lvl>
    <w:lvl w:ilvl="5" w:tentative="0">
      <w:start w:val="1"/>
      <w:numFmt w:val="lowerRoman"/>
      <w:lvlText w:val="%6."/>
      <w:lvlJc w:val="right"/>
      <w:pPr>
        <w:ind w:left="2963" w:hanging="420"/>
      </w:pPr>
    </w:lvl>
    <w:lvl w:ilvl="6" w:tentative="0">
      <w:start w:val="1"/>
      <w:numFmt w:val="decimal"/>
      <w:lvlText w:val="%7."/>
      <w:lvlJc w:val="left"/>
      <w:pPr>
        <w:ind w:left="3383" w:hanging="420"/>
      </w:pPr>
    </w:lvl>
    <w:lvl w:ilvl="7" w:tentative="0">
      <w:start w:val="1"/>
      <w:numFmt w:val="lowerLetter"/>
      <w:lvlText w:val="%8)"/>
      <w:lvlJc w:val="left"/>
      <w:pPr>
        <w:ind w:left="3803" w:hanging="420"/>
      </w:pPr>
    </w:lvl>
    <w:lvl w:ilvl="8" w:tentative="0">
      <w:start w:val="1"/>
      <w:numFmt w:val="lowerRoman"/>
      <w:lvlText w:val="%9."/>
      <w:lvlJc w:val="right"/>
      <w:pPr>
        <w:ind w:left="4223" w:hanging="420"/>
      </w:pPr>
    </w:lvl>
  </w:abstractNum>
  <w:num w:numId="1">
    <w:abstractNumId w:val="6"/>
  </w:num>
  <w:num w:numId="2">
    <w:abstractNumId w:val="2"/>
  </w:num>
  <w:num w:numId="3">
    <w:abstractNumId w:val="5"/>
  </w:num>
  <w:num w:numId="4">
    <w:abstractNumId w:val="7"/>
  </w:num>
  <w:num w:numId="5">
    <w:abstractNumId w:val="1"/>
  </w:num>
  <w:num w:numId="6">
    <w:abstractNumId w:val="11"/>
  </w:num>
  <w:num w:numId="7">
    <w:abstractNumId w:val="8"/>
  </w:num>
  <w:num w:numId="8">
    <w:abstractNumId w:val="12"/>
  </w:num>
  <w:num w:numId="9">
    <w:abstractNumId w:val="4"/>
  </w:num>
  <w:num w:numId="10">
    <w:abstractNumId w:val="10"/>
  </w:num>
  <w:num w:numId="11">
    <w:abstractNumId w:val="9"/>
  </w:num>
  <w:num w:numId="12">
    <w:abstractNumId w:val="3"/>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3OWE2NWVmNjYxNTUwMjgzNmQxYmFlOTNlODdhOTAifQ=="/>
  </w:docVars>
  <w:rsids>
    <w:rsidRoot w:val="00FD7604"/>
    <w:rsid w:val="00000244"/>
    <w:rsid w:val="0000185F"/>
    <w:rsid w:val="00004A57"/>
    <w:rsid w:val="0000586F"/>
    <w:rsid w:val="00006C41"/>
    <w:rsid w:val="00011EDE"/>
    <w:rsid w:val="00013D86"/>
    <w:rsid w:val="00013E02"/>
    <w:rsid w:val="00015CA3"/>
    <w:rsid w:val="00016763"/>
    <w:rsid w:val="00016E69"/>
    <w:rsid w:val="0002143C"/>
    <w:rsid w:val="00024238"/>
    <w:rsid w:val="0002559B"/>
    <w:rsid w:val="00025A65"/>
    <w:rsid w:val="00025D10"/>
    <w:rsid w:val="00026C31"/>
    <w:rsid w:val="00027280"/>
    <w:rsid w:val="000318DE"/>
    <w:rsid w:val="000320A7"/>
    <w:rsid w:val="000320A8"/>
    <w:rsid w:val="00035925"/>
    <w:rsid w:val="00042188"/>
    <w:rsid w:val="00042305"/>
    <w:rsid w:val="0004371B"/>
    <w:rsid w:val="0004372B"/>
    <w:rsid w:val="000438C9"/>
    <w:rsid w:val="000449AE"/>
    <w:rsid w:val="000464D4"/>
    <w:rsid w:val="000479FF"/>
    <w:rsid w:val="00051D12"/>
    <w:rsid w:val="00053A55"/>
    <w:rsid w:val="00054EE8"/>
    <w:rsid w:val="00056F61"/>
    <w:rsid w:val="00060D1C"/>
    <w:rsid w:val="00060F7A"/>
    <w:rsid w:val="00062D7A"/>
    <w:rsid w:val="00064BBA"/>
    <w:rsid w:val="000651ED"/>
    <w:rsid w:val="000664EB"/>
    <w:rsid w:val="00067078"/>
    <w:rsid w:val="00067CDF"/>
    <w:rsid w:val="0007095D"/>
    <w:rsid w:val="0007155B"/>
    <w:rsid w:val="00072D1B"/>
    <w:rsid w:val="00074177"/>
    <w:rsid w:val="00074FBE"/>
    <w:rsid w:val="00075C29"/>
    <w:rsid w:val="000826BB"/>
    <w:rsid w:val="00083A09"/>
    <w:rsid w:val="00084024"/>
    <w:rsid w:val="000840E0"/>
    <w:rsid w:val="000859A0"/>
    <w:rsid w:val="00085EC8"/>
    <w:rsid w:val="00086891"/>
    <w:rsid w:val="0009005E"/>
    <w:rsid w:val="0009281F"/>
    <w:rsid w:val="00092857"/>
    <w:rsid w:val="00094911"/>
    <w:rsid w:val="00095203"/>
    <w:rsid w:val="00097F06"/>
    <w:rsid w:val="000A0619"/>
    <w:rsid w:val="000A1D7B"/>
    <w:rsid w:val="000A1DB5"/>
    <w:rsid w:val="000A20A9"/>
    <w:rsid w:val="000A2E6B"/>
    <w:rsid w:val="000A2EA3"/>
    <w:rsid w:val="000A3618"/>
    <w:rsid w:val="000A37FE"/>
    <w:rsid w:val="000A46B7"/>
    <w:rsid w:val="000A48B1"/>
    <w:rsid w:val="000A4B15"/>
    <w:rsid w:val="000A613C"/>
    <w:rsid w:val="000A6D18"/>
    <w:rsid w:val="000A7D61"/>
    <w:rsid w:val="000B1B33"/>
    <w:rsid w:val="000B28CE"/>
    <w:rsid w:val="000B3143"/>
    <w:rsid w:val="000B5D50"/>
    <w:rsid w:val="000B6B7C"/>
    <w:rsid w:val="000B7B85"/>
    <w:rsid w:val="000C00DA"/>
    <w:rsid w:val="000C1287"/>
    <w:rsid w:val="000C1352"/>
    <w:rsid w:val="000C4830"/>
    <w:rsid w:val="000C6616"/>
    <w:rsid w:val="000C6B05"/>
    <w:rsid w:val="000C6DD6"/>
    <w:rsid w:val="000C73D4"/>
    <w:rsid w:val="000C7C66"/>
    <w:rsid w:val="000C7F27"/>
    <w:rsid w:val="000D2408"/>
    <w:rsid w:val="000D2F24"/>
    <w:rsid w:val="000D3D4C"/>
    <w:rsid w:val="000D4F51"/>
    <w:rsid w:val="000D5918"/>
    <w:rsid w:val="000D5F57"/>
    <w:rsid w:val="000D6990"/>
    <w:rsid w:val="000D718B"/>
    <w:rsid w:val="000D75B5"/>
    <w:rsid w:val="000D7AB5"/>
    <w:rsid w:val="000D7DEB"/>
    <w:rsid w:val="000E0C46"/>
    <w:rsid w:val="000E21A0"/>
    <w:rsid w:val="000E4ED0"/>
    <w:rsid w:val="000E78C8"/>
    <w:rsid w:val="000F02C5"/>
    <w:rsid w:val="000F030C"/>
    <w:rsid w:val="000F129C"/>
    <w:rsid w:val="000F1600"/>
    <w:rsid w:val="000F220B"/>
    <w:rsid w:val="000F27C0"/>
    <w:rsid w:val="000F524F"/>
    <w:rsid w:val="000F77D2"/>
    <w:rsid w:val="00100359"/>
    <w:rsid w:val="001014FB"/>
    <w:rsid w:val="00102905"/>
    <w:rsid w:val="001056DE"/>
    <w:rsid w:val="00110EC6"/>
    <w:rsid w:val="00111818"/>
    <w:rsid w:val="001124C0"/>
    <w:rsid w:val="001220AF"/>
    <w:rsid w:val="00124795"/>
    <w:rsid w:val="00127360"/>
    <w:rsid w:val="00127940"/>
    <w:rsid w:val="00127C4D"/>
    <w:rsid w:val="00130752"/>
    <w:rsid w:val="0013175F"/>
    <w:rsid w:val="00131EFA"/>
    <w:rsid w:val="00132813"/>
    <w:rsid w:val="00133048"/>
    <w:rsid w:val="00135DC4"/>
    <w:rsid w:val="00137891"/>
    <w:rsid w:val="00141B82"/>
    <w:rsid w:val="00142038"/>
    <w:rsid w:val="001427FB"/>
    <w:rsid w:val="0014672A"/>
    <w:rsid w:val="001467C6"/>
    <w:rsid w:val="00146CEA"/>
    <w:rsid w:val="001512B4"/>
    <w:rsid w:val="001538A0"/>
    <w:rsid w:val="001563D0"/>
    <w:rsid w:val="001572A0"/>
    <w:rsid w:val="001573E0"/>
    <w:rsid w:val="00160852"/>
    <w:rsid w:val="00160EFD"/>
    <w:rsid w:val="001620A5"/>
    <w:rsid w:val="00162531"/>
    <w:rsid w:val="0016291E"/>
    <w:rsid w:val="001646AE"/>
    <w:rsid w:val="00164E53"/>
    <w:rsid w:val="00166135"/>
    <w:rsid w:val="0016699D"/>
    <w:rsid w:val="00173B00"/>
    <w:rsid w:val="001740ED"/>
    <w:rsid w:val="00174B5C"/>
    <w:rsid w:val="00175005"/>
    <w:rsid w:val="00175159"/>
    <w:rsid w:val="00176208"/>
    <w:rsid w:val="001764A2"/>
    <w:rsid w:val="0017786B"/>
    <w:rsid w:val="00180B6A"/>
    <w:rsid w:val="00181456"/>
    <w:rsid w:val="00181BB4"/>
    <w:rsid w:val="0018211B"/>
    <w:rsid w:val="001840D3"/>
    <w:rsid w:val="001900F8"/>
    <w:rsid w:val="00191258"/>
    <w:rsid w:val="001919C8"/>
    <w:rsid w:val="00192680"/>
    <w:rsid w:val="00192CD2"/>
    <w:rsid w:val="00193037"/>
    <w:rsid w:val="00193A2C"/>
    <w:rsid w:val="00195018"/>
    <w:rsid w:val="001975FC"/>
    <w:rsid w:val="001A288E"/>
    <w:rsid w:val="001A353C"/>
    <w:rsid w:val="001A7562"/>
    <w:rsid w:val="001A7C2D"/>
    <w:rsid w:val="001B049A"/>
    <w:rsid w:val="001B148F"/>
    <w:rsid w:val="001B200F"/>
    <w:rsid w:val="001B3B05"/>
    <w:rsid w:val="001B4BDD"/>
    <w:rsid w:val="001B62A1"/>
    <w:rsid w:val="001B642E"/>
    <w:rsid w:val="001B6DC2"/>
    <w:rsid w:val="001C0EB7"/>
    <w:rsid w:val="001C149C"/>
    <w:rsid w:val="001C16F0"/>
    <w:rsid w:val="001C21AC"/>
    <w:rsid w:val="001C47BA"/>
    <w:rsid w:val="001C59EA"/>
    <w:rsid w:val="001D0B2B"/>
    <w:rsid w:val="001D36FC"/>
    <w:rsid w:val="001D406C"/>
    <w:rsid w:val="001D4078"/>
    <w:rsid w:val="001D41EE"/>
    <w:rsid w:val="001D455A"/>
    <w:rsid w:val="001D4B47"/>
    <w:rsid w:val="001D4E10"/>
    <w:rsid w:val="001D6796"/>
    <w:rsid w:val="001D7615"/>
    <w:rsid w:val="001E0380"/>
    <w:rsid w:val="001E09C2"/>
    <w:rsid w:val="001E13B1"/>
    <w:rsid w:val="001E2217"/>
    <w:rsid w:val="001E27E9"/>
    <w:rsid w:val="001E32FE"/>
    <w:rsid w:val="001E4303"/>
    <w:rsid w:val="001E6B92"/>
    <w:rsid w:val="001E784C"/>
    <w:rsid w:val="001F04D2"/>
    <w:rsid w:val="001F0675"/>
    <w:rsid w:val="001F33BA"/>
    <w:rsid w:val="001F3A19"/>
    <w:rsid w:val="001F5907"/>
    <w:rsid w:val="001F5FF8"/>
    <w:rsid w:val="001F644C"/>
    <w:rsid w:val="00200FAB"/>
    <w:rsid w:val="00201037"/>
    <w:rsid w:val="0020363A"/>
    <w:rsid w:val="002040AD"/>
    <w:rsid w:val="002046E3"/>
    <w:rsid w:val="002118C9"/>
    <w:rsid w:val="00211D58"/>
    <w:rsid w:val="00212E27"/>
    <w:rsid w:val="00214687"/>
    <w:rsid w:val="00216081"/>
    <w:rsid w:val="002164DA"/>
    <w:rsid w:val="00216D54"/>
    <w:rsid w:val="002178FA"/>
    <w:rsid w:val="002203A6"/>
    <w:rsid w:val="00220F9A"/>
    <w:rsid w:val="0022335D"/>
    <w:rsid w:val="00223ED5"/>
    <w:rsid w:val="00225100"/>
    <w:rsid w:val="00225332"/>
    <w:rsid w:val="002319FC"/>
    <w:rsid w:val="00233321"/>
    <w:rsid w:val="00233734"/>
    <w:rsid w:val="00234431"/>
    <w:rsid w:val="00234467"/>
    <w:rsid w:val="002356D6"/>
    <w:rsid w:val="00236374"/>
    <w:rsid w:val="00236447"/>
    <w:rsid w:val="00237600"/>
    <w:rsid w:val="00237A64"/>
    <w:rsid w:val="00237D8D"/>
    <w:rsid w:val="0024181C"/>
    <w:rsid w:val="00241DA2"/>
    <w:rsid w:val="00243F9A"/>
    <w:rsid w:val="00245C69"/>
    <w:rsid w:val="0024772A"/>
    <w:rsid w:val="00247FEE"/>
    <w:rsid w:val="00250447"/>
    <w:rsid w:val="00250721"/>
    <w:rsid w:val="00250E7D"/>
    <w:rsid w:val="0025185B"/>
    <w:rsid w:val="00251A30"/>
    <w:rsid w:val="00253545"/>
    <w:rsid w:val="0025565D"/>
    <w:rsid w:val="00256105"/>
    <w:rsid w:val="002565D5"/>
    <w:rsid w:val="00261106"/>
    <w:rsid w:val="002622C0"/>
    <w:rsid w:val="00263389"/>
    <w:rsid w:val="0026422D"/>
    <w:rsid w:val="00265B4A"/>
    <w:rsid w:val="00267057"/>
    <w:rsid w:val="002704FD"/>
    <w:rsid w:val="00270509"/>
    <w:rsid w:val="00275116"/>
    <w:rsid w:val="00275291"/>
    <w:rsid w:val="00275A58"/>
    <w:rsid w:val="00275B38"/>
    <w:rsid w:val="002764B9"/>
    <w:rsid w:val="002778AE"/>
    <w:rsid w:val="00280004"/>
    <w:rsid w:val="00282699"/>
    <w:rsid w:val="0028269A"/>
    <w:rsid w:val="00282BA3"/>
    <w:rsid w:val="002833E1"/>
    <w:rsid w:val="00283590"/>
    <w:rsid w:val="00286973"/>
    <w:rsid w:val="00290349"/>
    <w:rsid w:val="00290792"/>
    <w:rsid w:val="00291EB2"/>
    <w:rsid w:val="00292AF6"/>
    <w:rsid w:val="002948B4"/>
    <w:rsid w:val="00294E70"/>
    <w:rsid w:val="00297084"/>
    <w:rsid w:val="002A17E3"/>
    <w:rsid w:val="002A1924"/>
    <w:rsid w:val="002A4D31"/>
    <w:rsid w:val="002A7420"/>
    <w:rsid w:val="002B02A2"/>
    <w:rsid w:val="002B0DE2"/>
    <w:rsid w:val="002B0F12"/>
    <w:rsid w:val="002B1308"/>
    <w:rsid w:val="002B2044"/>
    <w:rsid w:val="002B235A"/>
    <w:rsid w:val="002B4554"/>
    <w:rsid w:val="002B781C"/>
    <w:rsid w:val="002B7DCE"/>
    <w:rsid w:val="002C11A7"/>
    <w:rsid w:val="002C2DE0"/>
    <w:rsid w:val="002C3987"/>
    <w:rsid w:val="002C6D0B"/>
    <w:rsid w:val="002C72D8"/>
    <w:rsid w:val="002D0F17"/>
    <w:rsid w:val="002D11FA"/>
    <w:rsid w:val="002D17BB"/>
    <w:rsid w:val="002D1D7C"/>
    <w:rsid w:val="002D4CD6"/>
    <w:rsid w:val="002D61E6"/>
    <w:rsid w:val="002D6337"/>
    <w:rsid w:val="002E03AA"/>
    <w:rsid w:val="002E0DDF"/>
    <w:rsid w:val="002E22DB"/>
    <w:rsid w:val="002E2610"/>
    <w:rsid w:val="002E2906"/>
    <w:rsid w:val="002E31D2"/>
    <w:rsid w:val="002E5635"/>
    <w:rsid w:val="002E64C3"/>
    <w:rsid w:val="002E6A2C"/>
    <w:rsid w:val="002F1D8C"/>
    <w:rsid w:val="002F21DA"/>
    <w:rsid w:val="002F2F16"/>
    <w:rsid w:val="002F3865"/>
    <w:rsid w:val="002F77F7"/>
    <w:rsid w:val="00301F39"/>
    <w:rsid w:val="003038BF"/>
    <w:rsid w:val="00303A70"/>
    <w:rsid w:val="00303FEB"/>
    <w:rsid w:val="00310718"/>
    <w:rsid w:val="00313495"/>
    <w:rsid w:val="00313535"/>
    <w:rsid w:val="00314248"/>
    <w:rsid w:val="003142FB"/>
    <w:rsid w:val="00321989"/>
    <w:rsid w:val="00321C94"/>
    <w:rsid w:val="00322B87"/>
    <w:rsid w:val="00322B99"/>
    <w:rsid w:val="003238FC"/>
    <w:rsid w:val="003256FF"/>
    <w:rsid w:val="00325926"/>
    <w:rsid w:val="00327A8A"/>
    <w:rsid w:val="00334E6B"/>
    <w:rsid w:val="00336610"/>
    <w:rsid w:val="00341436"/>
    <w:rsid w:val="00342F7D"/>
    <w:rsid w:val="00343AB1"/>
    <w:rsid w:val="00343F73"/>
    <w:rsid w:val="00345060"/>
    <w:rsid w:val="00345F0A"/>
    <w:rsid w:val="003513B5"/>
    <w:rsid w:val="0035323B"/>
    <w:rsid w:val="003543CE"/>
    <w:rsid w:val="00355FB7"/>
    <w:rsid w:val="003567C4"/>
    <w:rsid w:val="00357EAE"/>
    <w:rsid w:val="00360245"/>
    <w:rsid w:val="003609D2"/>
    <w:rsid w:val="00360E60"/>
    <w:rsid w:val="00361BDA"/>
    <w:rsid w:val="00362485"/>
    <w:rsid w:val="00362787"/>
    <w:rsid w:val="00363F22"/>
    <w:rsid w:val="003641D2"/>
    <w:rsid w:val="00364238"/>
    <w:rsid w:val="0036457E"/>
    <w:rsid w:val="00365D88"/>
    <w:rsid w:val="00365FFB"/>
    <w:rsid w:val="0036606A"/>
    <w:rsid w:val="0036634A"/>
    <w:rsid w:val="00370716"/>
    <w:rsid w:val="003729A1"/>
    <w:rsid w:val="00373EED"/>
    <w:rsid w:val="00374316"/>
    <w:rsid w:val="003746E1"/>
    <w:rsid w:val="00375564"/>
    <w:rsid w:val="00381FC9"/>
    <w:rsid w:val="00383191"/>
    <w:rsid w:val="003832A4"/>
    <w:rsid w:val="00386DED"/>
    <w:rsid w:val="00386F9B"/>
    <w:rsid w:val="003907F8"/>
    <w:rsid w:val="003912E7"/>
    <w:rsid w:val="00391B45"/>
    <w:rsid w:val="0039335A"/>
    <w:rsid w:val="00393947"/>
    <w:rsid w:val="003939EF"/>
    <w:rsid w:val="003959C6"/>
    <w:rsid w:val="00395A6F"/>
    <w:rsid w:val="00397295"/>
    <w:rsid w:val="00397912"/>
    <w:rsid w:val="003A041A"/>
    <w:rsid w:val="003A2275"/>
    <w:rsid w:val="003A2C26"/>
    <w:rsid w:val="003A35BE"/>
    <w:rsid w:val="003A56D8"/>
    <w:rsid w:val="003A6A4F"/>
    <w:rsid w:val="003A7088"/>
    <w:rsid w:val="003B00DF"/>
    <w:rsid w:val="003B1275"/>
    <w:rsid w:val="003B1778"/>
    <w:rsid w:val="003B2B10"/>
    <w:rsid w:val="003B312D"/>
    <w:rsid w:val="003B34E8"/>
    <w:rsid w:val="003B467D"/>
    <w:rsid w:val="003B5778"/>
    <w:rsid w:val="003B5987"/>
    <w:rsid w:val="003B6F25"/>
    <w:rsid w:val="003C0E4A"/>
    <w:rsid w:val="003C11CB"/>
    <w:rsid w:val="003C3044"/>
    <w:rsid w:val="003C6FC2"/>
    <w:rsid w:val="003C75F3"/>
    <w:rsid w:val="003C78A3"/>
    <w:rsid w:val="003D18E2"/>
    <w:rsid w:val="003D4C6E"/>
    <w:rsid w:val="003D6D25"/>
    <w:rsid w:val="003D7D9D"/>
    <w:rsid w:val="003E0D11"/>
    <w:rsid w:val="003E1867"/>
    <w:rsid w:val="003E2BFA"/>
    <w:rsid w:val="003E3B3F"/>
    <w:rsid w:val="003E5729"/>
    <w:rsid w:val="003F18DA"/>
    <w:rsid w:val="003F4ADA"/>
    <w:rsid w:val="003F4EE0"/>
    <w:rsid w:val="003F78F5"/>
    <w:rsid w:val="003F7D5C"/>
    <w:rsid w:val="00400680"/>
    <w:rsid w:val="0040127D"/>
    <w:rsid w:val="00402153"/>
    <w:rsid w:val="00402FC1"/>
    <w:rsid w:val="00403FFB"/>
    <w:rsid w:val="004046B6"/>
    <w:rsid w:val="004106DF"/>
    <w:rsid w:val="00413A45"/>
    <w:rsid w:val="004149A4"/>
    <w:rsid w:val="00416A7B"/>
    <w:rsid w:val="004175AD"/>
    <w:rsid w:val="004216CA"/>
    <w:rsid w:val="0042186A"/>
    <w:rsid w:val="00425082"/>
    <w:rsid w:val="004256B4"/>
    <w:rsid w:val="00425CFA"/>
    <w:rsid w:val="00427E97"/>
    <w:rsid w:val="004303B7"/>
    <w:rsid w:val="00430BB5"/>
    <w:rsid w:val="00431DEB"/>
    <w:rsid w:val="00442001"/>
    <w:rsid w:val="00442EB5"/>
    <w:rsid w:val="00444129"/>
    <w:rsid w:val="00446B29"/>
    <w:rsid w:val="00452DF8"/>
    <w:rsid w:val="00453EE4"/>
    <w:rsid w:val="00453F9A"/>
    <w:rsid w:val="00454908"/>
    <w:rsid w:val="00455B52"/>
    <w:rsid w:val="00457ED8"/>
    <w:rsid w:val="00460FA1"/>
    <w:rsid w:val="004719E3"/>
    <w:rsid w:val="00471E91"/>
    <w:rsid w:val="004738DE"/>
    <w:rsid w:val="00473949"/>
    <w:rsid w:val="00474675"/>
    <w:rsid w:val="0047470C"/>
    <w:rsid w:val="004755B3"/>
    <w:rsid w:val="004804CE"/>
    <w:rsid w:val="00480AB9"/>
    <w:rsid w:val="00484729"/>
    <w:rsid w:val="004849AC"/>
    <w:rsid w:val="0048528E"/>
    <w:rsid w:val="00485C8C"/>
    <w:rsid w:val="00485E72"/>
    <w:rsid w:val="00491142"/>
    <w:rsid w:val="00493172"/>
    <w:rsid w:val="004957AD"/>
    <w:rsid w:val="004A0498"/>
    <w:rsid w:val="004A339B"/>
    <w:rsid w:val="004A35F9"/>
    <w:rsid w:val="004A505A"/>
    <w:rsid w:val="004A557C"/>
    <w:rsid w:val="004A62FB"/>
    <w:rsid w:val="004A72F3"/>
    <w:rsid w:val="004B0255"/>
    <w:rsid w:val="004B061A"/>
    <w:rsid w:val="004B24C1"/>
    <w:rsid w:val="004B3826"/>
    <w:rsid w:val="004B5CA8"/>
    <w:rsid w:val="004C1EC1"/>
    <w:rsid w:val="004C292F"/>
    <w:rsid w:val="004C555A"/>
    <w:rsid w:val="004C60ED"/>
    <w:rsid w:val="004C79B9"/>
    <w:rsid w:val="004D0644"/>
    <w:rsid w:val="004D0D90"/>
    <w:rsid w:val="004D114B"/>
    <w:rsid w:val="004D735A"/>
    <w:rsid w:val="004E0565"/>
    <w:rsid w:val="004E1BC0"/>
    <w:rsid w:val="004E30F8"/>
    <w:rsid w:val="004E50F8"/>
    <w:rsid w:val="004E6A91"/>
    <w:rsid w:val="004E6DD9"/>
    <w:rsid w:val="004F0369"/>
    <w:rsid w:val="004F0ECB"/>
    <w:rsid w:val="004F55FE"/>
    <w:rsid w:val="004F59AA"/>
    <w:rsid w:val="004F5F5F"/>
    <w:rsid w:val="005001E2"/>
    <w:rsid w:val="00502831"/>
    <w:rsid w:val="005029A9"/>
    <w:rsid w:val="00504051"/>
    <w:rsid w:val="00510280"/>
    <w:rsid w:val="00513D73"/>
    <w:rsid w:val="00514A43"/>
    <w:rsid w:val="005151AC"/>
    <w:rsid w:val="005174E5"/>
    <w:rsid w:val="0051789A"/>
    <w:rsid w:val="00522393"/>
    <w:rsid w:val="00522620"/>
    <w:rsid w:val="005235D9"/>
    <w:rsid w:val="005247A9"/>
    <w:rsid w:val="00525656"/>
    <w:rsid w:val="0053309E"/>
    <w:rsid w:val="00534C02"/>
    <w:rsid w:val="00534DAC"/>
    <w:rsid w:val="00535D8D"/>
    <w:rsid w:val="005368AA"/>
    <w:rsid w:val="00537105"/>
    <w:rsid w:val="005404A8"/>
    <w:rsid w:val="00540DD8"/>
    <w:rsid w:val="00541DA0"/>
    <w:rsid w:val="0054264B"/>
    <w:rsid w:val="00543786"/>
    <w:rsid w:val="005438F5"/>
    <w:rsid w:val="00545727"/>
    <w:rsid w:val="0055152F"/>
    <w:rsid w:val="00552891"/>
    <w:rsid w:val="005533D7"/>
    <w:rsid w:val="00556275"/>
    <w:rsid w:val="00556FBF"/>
    <w:rsid w:val="00557B5F"/>
    <w:rsid w:val="005609E4"/>
    <w:rsid w:val="00562503"/>
    <w:rsid w:val="0056509F"/>
    <w:rsid w:val="00566057"/>
    <w:rsid w:val="005660D9"/>
    <w:rsid w:val="005703DE"/>
    <w:rsid w:val="00570DE5"/>
    <w:rsid w:val="005722BE"/>
    <w:rsid w:val="00574359"/>
    <w:rsid w:val="00574665"/>
    <w:rsid w:val="00575B86"/>
    <w:rsid w:val="00583474"/>
    <w:rsid w:val="0058464E"/>
    <w:rsid w:val="00584BFD"/>
    <w:rsid w:val="00590404"/>
    <w:rsid w:val="0059429A"/>
    <w:rsid w:val="005946A2"/>
    <w:rsid w:val="00594E1A"/>
    <w:rsid w:val="00595973"/>
    <w:rsid w:val="005A0135"/>
    <w:rsid w:val="005A01CB"/>
    <w:rsid w:val="005A0D4D"/>
    <w:rsid w:val="005A1EAE"/>
    <w:rsid w:val="005A2C42"/>
    <w:rsid w:val="005A421E"/>
    <w:rsid w:val="005A46EF"/>
    <w:rsid w:val="005A5061"/>
    <w:rsid w:val="005A58FF"/>
    <w:rsid w:val="005A5EAF"/>
    <w:rsid w:val="005A5FC7"/>
    <w:rsid w:val="005A64C0"/>
    <w:rsid w:val="005B043E"/>
    <w:rsid w:val="005B3C11"/>
    <w:rsid w:val="005B3E7A"/>
    <w:rsid w:val="005B41C2"/>
    <w:rsid w:val="005C1359"/>
    <w:rsid w:val="005C1C28"/>
    <w:rsid w:val="005C459B"/>
    <w:rsid w:val="005C4D95"/>
    <w:rsid w:val="005C6DB5"/>
    <w:rsid w:val="005D3318"/>
    <w:rsid w:val="005D39C8"/>
    <w:rsid w:val="005D495A"/>
    <w:rsid w:val="005D49A6"/>
    <w:rsid w:val="005D6FED"/>
    <w:rsid w:val="005D7BC8"/>
    <w:rsid w:val="005E03D9"/>
    <w:rsid w:val="005E19E7"/>
    <w:rsid w:val="005E2016"/>
    <w:rsid w:val="005E2A8E"/>
    <w:rsid w:val="005E2B10"/>
    <w:rsid w:val="005E2DAF"/>
    <w:rsid w:val="005E2DD9"/>
    <w:rsid w:val="005E41A0"/>
    <w:rsid w:val="005E7BD9"/>
    <w:rsid w:val="005F4537"/>
    <w:rsid w:val="005F579F"/>
    <w:rsid w:val="005F5F05"/>
    <w:rsid w:val="0060040A"/>
    <w:rsid w:val="00601904"/>
    <w:rsid w:val="00605450"/>
    <w:rsid w:val="00607158"/>
    <w:rsid w:val="00613511"/>
    <w:rsid w:val="00613753"/>
    <w:rsid w:val="0061716C"/>
    <w:rsid w:val="00617BB3"/>
    <w:rsid w:val="006243A1"/>
    <w:rsid w:val="00625E71"/>
    <w:rsid w:val="006273C0"/>
    <w:rsid w:val="00630606"/>
    <w:rsid w:val="00632E56"/>
    <w:rsid w:val="0063347E"/>
    <w:rsid w:val="0063493A"/>
    <w:rsid w:val="006349D0"/>
    <w:rsid w:val="00635AA3"/>
    <w:rsid w:val="00635CBA"/>
    <w:rsid w:val="00640C08"/>
    <w:rsid w:val="00640CD1"/>
    <w:rsid w:val="006428D0"/>
    <w:rsid w:val="006431BA"/>
    <w:rsid w:val="0064338B"/>
    <w:rsid w:val="00643E4C"/>
    <w:rsid w:val="00645AFD"/>
    <w:rsid w:val="00645F38"/>
    <w:rsid w:val="00646542"/>
    <w:rsid w:val="00646A5E"/>
    <w:rsid w:val="00647FA8"/>
    <w:rsid w:val="0065013D"/>
    <w:rsid w:val="006504F4"/>
    <w:rsid w:val="00650FB3"/>
    <w:rsid w:val="00651726"/>
    <w:rsid w:val="006539C2"/>
    <w:rsid w:val="00653BEA"/>
    <w:rsid w:val="0065461B"/>
    <w:rsid w:val="006547F4"/>
    <w:rsid w:val="00654B88"/>
    <w:rsid w:val="00654BC9"/>
    <w:rsid w:val="006552FD"/>
    <w:rsid w:val="006557E1"/>
    <w:rsid w:val="00656AA5"/>
    <w:rsid w:val="00656BC7"/>
    <w:rsid w:val="00656D46"/>
    <w:rsid w:val="006570F7"/>
    <w:rsid w:val="00657225"/>
    <w:rsid w:val="00661101"/>
    <w:rsid w:val="00662E25"/>
    <w:rsid w:val="00663AF3"/>
    <w:rsid w:val="00663EA0"/>
    <w:rsid w:val="006643B4"/>
    <w:rsid w:val="00665426"/>
    <w:rsid w:val="00666B6C"/>
    <w:rsid w:val="006716CA"/>
    <w:rsid w:val="006716E4"/>
    <w:rsid w:val="00671BD7"/>
    <w:rsid w:val="00673222"/>
    <w:rsid w:val="006736EE"/>
    <w:rsid w:val="006777E2"/>
    <w:rsid w:val="00680371"/>
    <w:rsid w:val="0068116F"/>
    <w:rsid w:val="00682682"/>
    <w:rsid w:val="00682702"/>
    <w:rsid w:val="006909EC"/>
    <w:rsid w:val="00691180"/>
    <w:rsid w:val="00692368"/>
    <w:rsid w:val="0069374E"/>
    <w:rsid w:val="006945B4"/>
    <w:rsid w:val="006959B7"/>
    <w:rsid w:val="00696B54"/>
    <w:rsid w:val="00696F53"/>
    <w:rsid w:val="006971F3"/>
    <w:rsid w:val="00697F07"/>
    <w:rsid w:val="006A0309"/>
    <w:rsid w:val="006A22A7"/>
    <w:rsid w:val="006A2EBC"/>
    <w:rsid w:val="006A5EA0"/>
    <w:rsid w:val="006A77A9"/>
    <w:rsid w:val="006A783B"/>
    <w:rsid w:val="006A79BC"/>
    <w:rsid w:val="006A7B33"/>
    <w:rsid w:val="006B0E6A"/>
    <w:rsid w:val="006B4DB2"/>
    <w:rsid w:val="006B4E13"/>
    <w:rsid w:val="006B659F"/>
    <w:rsid w:val="006B75DD"/>
    <w:rsid w:val="006C0745"/>
    <w:rsid w:val="006C1ED7"/>
    <w:rsid w:val="006C2FF2"/>
    <w:rsid w:val="006C4A3E"/>
    <w:rsid w:val="006C5684"/>
    <w:rsid w:val="006C67E0"/>
    <w:rsid w:val="006C791C"/>
    <w:rsid w:val="006C7ABA"/>
    <w:rsid w:val="006D0B3C"/>
    <w:rsid w:val="006D0D60"/>
    <w:rsid w:val="006D1122"/>
    <w:rsid w:val="006D3AE7"/>
    <w:rsid w:val="006D3C00"/>
    <w:rsid w:val="006D6FF4"/>
    <w:rsid w:val="006E3675"/>
    <w:rsid w:val="006E36A7"/>
    <w:rsid w:val="006E490F"/>
    <w:rsid w:val="006E4A7F"/>
    <w:rsid w:val="006E67B2"/>
    <w:rsid w:val="006E6883"/>
    <w:rsid w:val="006F0380"/>
    <w:rsid w:val="006F2D4E"/>
    <w:rsid w:val="006F3F74"/>
    <w:rsid w:val="006F7B1B"/>
    <w:rsid w:val="007003C7"/>
    <w:rsid w:val="00701879"/>
    <w:rsid w:val="007030B2"/>
    <w:rsid w:val="00704712"/>
    <w:rsid w:val="00704DF6"/>
    <w:rsid w:val="00705465"/>
    <w:rsid w:val="00705AA9"/>
    <w:rsid w:val="0070651C"/>
    <w:rsid w:val="0070710F"/>
    <w:rsid w:val="00711F4A"/>
    <w:rsid w:val="007132A3"/>
    <w:rsid w:val="00713AEA"/>
    <w:rsid w:val="00716307"/>
    <w:rsid w:val="00716421"/>
    <w:rsid w:val="00717D6B"/>
    <w:rsid w:val="00720DD0"/>
    <w:rsid w:val="00723614"/>
    <w:rsid w:val="00723724"/>
    <w:rsid w:val="00723FC7"/>
    <w:rsid w:val="00724EFB"/>
    <w:rsid w:val="00730B9D"/>
    <w:rsid w:val="007313EF"/>
    <w:rsid w:val="00731525"/>
    <w:rsid w:val="00731B70"/>
    <w:rsid w:val="00733C7C"/>
    <w:rsid w:val="00734C43"/>
    <w:rsid w:val="00735594"/>
    <w:rsid w:val="00740BC6"/>
    <w:rsid w:val="007419C3"/>
    <w:rsid w:val="007434F6"/>
    <w:rsid w:val="0074581F"/>
    <w:rsid w:val="00746456"/>
    <w:rsid w:val="007467A7"/>
    <w:rsid w:val="007469DD"/>
    <w:rsid w:val="00746E05"/>
    <w:rsid w:val="0074734D"/>
    <w:rsid w:val="0074741B"/>
    <w:rsid w:val="0074759E"/>
    <w:rsid w:val="007478EA"/>
    <w:rsid w:val="007505AD"/>
    <w:rsid w:val="00750F89"/>
    <w:rsid w:val="00750FAE"/>
    <w:rsid w:val="0075195F"/>
    <w:rsid w:val="007533DC"/>
    <w:rsid w:val="00753730"/>
    <w:rsid w:val="0075415C"/>
    <w:rsid w:val="0075579F"/>
    <w:rsid w:val="00755D0B"/>
    <w:rsid w:val="007568B7"/>
    <w:rsid w:val="007571AD"/>
    <w:rsid w:val="00761358"/>
    <w:rsid w:val="00761815"/>
    <w:rsid w:val="00761B9D"/>
    <w:rsid w:val="00762CC4"/>
    <w:rsid w:val="00763355"/>
    <w:rsid w:val="00763502"/>
    <w:rsid w:val="00764676"/>
    <w:rsid w:val="00764748"/>
    <w:rsid w:val="00765EAB"/>
    <w:rsid w:val="0076619C"/>
    <w:rsid w:val="007671C2"/>
    <w:rsid w:val="00772C2A"/>
    <w:rsid w:val="007808D0"/>
    <w:rsid w:val="00780901"/>
    <w:rsid w:val="00781473"/>
    <w:rsid w:val="007860FA"/>
    <w:rsid w:val="007913AB"/>
    <w:rsid w:val="007914F7"/>
    <w:rsid w:val="00792827"/>
    <w:rsid w:val="0079362C"/>
    <w:rsid w:val="00797AEC"/>
    <w:rsid w:val="007A214D"/>
    <w:rsid w:val="007A3DE3"/>
    <w:rsid w:val="007A62A7"/>
    <w:rsid w:val="007A6AE2"/>
    <w:rsid w:val="007A6FC8"/>
    <w:rsid w:val="007A7666"/>
    <w:rsid w:val="007B12EE"/>
    <w:rsid w:val="007B1625"/>
    <w:rsid w:val="007B45B5"/>
    <w:rsid w:val="007B4D70"/>
    <w:rsid w:val="007B706E"/>
    <w:rsid w:val="007B71EB"/>
    <w:rsid w:val="007C3296"/>
    <w:rsid w:val="007C3D49"/>
    <w:rsid w:val="007C4E5B"/>
    <w:rsid w:val="007C517B"/>
    <w:rsid w:val="007C6205"/>
    <w:rsid w:val="007C62D7"/>
    <w:rsid w:val="007C686A"/>
    <w:rsid w:val="007C728E"/>
    <w:rsid w:val="007D03FC"/>
    <w:rsid w:val="007D1274"/>
    <w:rsid w:val="007D1C1C"/>
    <w:rsid w:val="007D2C53"/>
    <w:rsid w:val="007D3D60"/>
    <w:rsid w:val="007D4238"/>
    <w:rsid w:val="007D5C73"/>
    <w:rsid w:val="007D745C"/>
    <w:rsid w:val="007E178D"/>
    <w:rsid w:val="007E1980"/>
    <w:rsid w:val="007E34A2"/>
    <w:rsid w:val="007E4B76"/>
    <w:rsid w:val="007E5EA8"/>
    <w:rsid w:val="007F06FC"/>
    <w:rsid w:val="007F0CF1"/>
    <w:rsid w:val="007F12A5"/>
    <w:rsid w:val="007F37A0"/>
    <w:rsid w:val="007F3DDF"/>
    <w:rsid w:val="007F4CF1"/>
    <w:rsid w:val="007F758D"/>
    <w:rsid w:val="007F7D52"/>
    <w:rsid w:val="0080187B"/>
    <w:rsid w:val="008031BF"/>
    <w:rsid w:val="0080355A"/>
    <w:rsid w:val="0080654C"/>
    <w:rsid w:val="008071C6"/>
    <w:rsid w:val="0081203F"/>
    <w:rsid w:val="008155DD"/>
    <w:rsid w:val="00816E66"/>
    <w:rsid w:val="00817A00"/>
    <w:rsid w:val="00820B81"/>
    <w:rsid w:val="00821ADB"/>
    <w:rsid w:val="00823EDC"/>
    <w:rsid w:val="00826B07"/>
    <w:rsid w:val="00826E83"/>
    <w:rsid w:val="00827F80"/>
    <w:rsid w:val="008304F7"/>
    <w:rsid w:val="00831DD4"/>
    <w:rsid w:val="00832C0D"/>
    <w:rsid w:val="00833EF5"/>
    <w:rsid w:val="00835DB3"/>
    <w:rsid w:val="0083617B"/>
    <w:rsid w:val="00836541"/>
    <w:rsid w:val="008371BD"/>
    <w:rsid w:val="00842D14"/>
    <w:rsid w:val="00846474"/>
    <w:rsid w:val="008479BB"/>
    <w:rsid w:val="008504A8"/>
    <w:rsid w:val="00850997"/>
    <w:rsid w:val="008517D6"/>
    <w:rsid w:val="0085282E"/>
    <w:rsid w:val="00855685"/>
    <w:rsid w:val="00856581"/>
    <w:rsid w:val="00857484"/>
    <w:rsid w:val="00857B4C"/>
    <w:rsid w:val="00861BFC"/>
    <w:rsid w:val="00863098"/>
    <w:rsid w:val="0086780B"/>
    <w:rsid w:val="00867A0E"/>
    <w:rsid w:val="0087198C"/>
    <w:rsid w:val="00872C1F"/>
    <w:rsid w:val="00873B42"/>
    <w:rsid w:val="00874D01"/>
    <w:rsid w:val="00877DAE"/>
    <w:rsid w:val="00882597"/>
    <w:rsid w:val="008828D0"/>
    <w:rsid w:val="0088500A"/>
    <w:rsid w:val="008856D8"/>
    <w:rsid w:val="00892E82"/>
    <w:rsid w:val="008962D6"/>
    <w:rsid w:val="00896465"/>
    <w:rsid w:val="008966ED"/>
    <w:rsid w:val="008A59C9"/>
    <w:rsid w:val="008A64EB"/>
    <w:rsid w:val="008B07E3"/>
    <w:rsid w:val="008B09C9"/>
    <w:rsid w:val="008B15C9"/>
    <w:rsid w:val="008B3727"/>
    <w:rsid w:val="008B3833"/>
    <w:rsid w:val="008B4D24"/>
    <w:rsid w:val="008B57A5"/>
    <w:rsid w:val="008C0D6B"/>
    <w:rsid w:val="008C1B58"/>
    <w:rsid w:val="008C2506"/>
    <w:rsid w:val="008C36C2"/>
    <w:rsid w:val="008C39AE"/>
    <w:rsid w:val="008C4727"/>
    <w:rsid w:val="008C590D"/>
    <w:rsid w:val="008C7185"/>
    <w:rsid w:val="008C79CB"/>
    <w:rsid w:val="008D283B"/>
    <w:rsid w:val="008D3DA6"/>
    <w:rsid w:val="008D5969"/>
    <w:rsid w:val="008E031B"/>
    <w:rsid w:val="008E0596"/>
    <w:rsid w:val="008E1AF9"/>
    <w:rsid w:val="008E3F7C"/>
    <w:rsid w:val="008E406D"/>
    <w:rsid w:val="008E7029"/>
    <w:rsid w:val="008E7769"/>
    <w:rsid w:val="008E7EF6"/>
    <w:rsid w:val="008F1F98"/>
    <w:rsid w:val="008F235D"/>
    <w:rsid w:val="008F28A0"/>
    <w:rsid w:val="008F3B89"/>
    <w:rsid w:val="008F43DC"/>
    <w:rsid w:val="008F5120"/>
    <w:rsid w:val="008F6758"/>
    <w:rsid w:val="008F7964"/>
    <w:rsid w:val="009040DD"/>
    <w:rsid w:val="00905B47"/>
    <w:rsid w:val="00906613"/>
    <w:rsid w:val="0091331C"/>
    <w:rsid w:val="009139ED"/>
    <w:rsid w:val="00914FCC"/>
    <w:rsid w:val="00920CA4"/>
    <w:rsid w:val="009220DF"/>
    <w:rsid w:val="009230DF"/>
    <w:rsid w:val="00924AC2"/>
    <w:rsid w:val="009279DE"/>
    <w:rsid w:val="00930116"/>
    <w:rsid w:val="00931083"/>
    <w:rsid w:val="00933C08"/>
    <w:rsid w:val="0093502B"/>
    <w:rsid w:val="0094212C"/>
    <w:rsid w:val="0094492D"/>
    <w:rsid w:val="00945CCD"/>
    <w:rsid w:val="009471E4"/>
    <w:rsid w:val="0094727E"/>
    <w:rsid w:val="009479E1"/>
    <w:rsid w:val="00947DC0"/>
    <w:rsid w:val="00951AE0"/>
    <w:rsid w:val="00952DD5"/>
    <w:rsid w:val="0095315D"/>
    <w:rsid w:val="00954689"/>
    <w:rsid w:val="00955937"/>
    <w:rsid w:val="009617C9"/>
    <w:rsid w:val="00961C93"/>
    <w:rsid w:val="0096312D"/>
    <w:rsid w:val="00964F14"/>
    <w:rsid w:val="00965324"/>
    <w:rsid w:val="00966D26"/>
    <w:rsid w:val="0097091E"/>
    <w:rsid w:val="00971B96"/>
    <w:rsid w:val="00972831"/>
    <w:rsid w:val="0097310A"/>
    <w:rsid w:val="00974021"/>
    <w:rsid w:val="009760D3"/>
    <w:rsid w:val="00977132"/>
    <w:rsid w:val="00977239"/>
    <w:rsid w:val="009812D2"/>
    <w:rsid w:val="00981A4B"/>
    <w:rsid w:val="00981FFC"/>
    <w:rsid w:val="00982501"/>
    <w:rsid w:val="009830BC"/>
    <w:rsid w:val="009837DD"/>
    <w:rsid w:val="00985E60"/>
    <w:rsid w:val="00986873"/>
    <w:rsid w:val="009877D3"/>
    <w:rsid w:val="00990A60"/>
    <w:rsid w:val="00992355"/>
    <w:rsid w:val="00994E8F"/>
    <w:rsid w:val="009951DC"/>
    <w:rsid w:val="009955A8"/>
    <w:rsid w:val="009959BB"/>
    <w:rsid w:val="00996AE8"/>
    <w:rsid w:val="00997158"/>
    <w:rsid w:val="009A0D44"/>
    <w:rsid w:val="009A1EED"/>
    <w:rsid w:val="009A3A7C"/>
    <w:rsid w:val="009A4D8F"/>
    <w:rsid w:val="009A523E"/>
    <w:rsid w:val="009A6480"/>
    <w:rsid w:val="009B0503"/>
    <w:rsid w:val="009B2ADB"/>
    <w:rsid w:val="009B3D24"/>
    <w:rsid w:val="009B3F51"/>
    <w:rsid w:val="009B4E72"/>
    <w:rsid w:val="009B5771"/>
    <w:rsid w:val="009B603A"/>
    <w:rsid w:val="009B60F7"/>
    <w:rsid w:val="009B6260"/>
    <w:rsid w:val="009B704E"/>
    <w:rsid w:val="009C04EC"/>
    <w:rsid w:val="009C05F0"/>
    <w:rsid w:val="009C2D0E"/>
    <w:rsid w:val="009C3DAC"/>
    <w:rsid w:val="009C42E0"/>
    <w:rsid w:val="009C66D8"/>
    <w:rsid w:val="009D1880"/>
    <w:rsid w:val="009D5362"/>
    <w:rsid w:val="009E0BFF"/>
    <w:rsid w:val="009E1415"/>
    <w:rsid w:val="009E1C62"/>
    <w:rsid w:val="009E1E6F"/>
    <w:rsid w:val="009E2252"/>
    <w:rsid w:val="009E3503"/>
    <w:rsid w:val="009E407D"/>
    <w:rsid w:val="009E5E89"/>
    <w:rsid w:val="009E6116"/>
    <w:rsid w:val="009E6508"/>
    <w:rsid w:val="009F0620"/>
    <w:rsid w:val="009F292D"/>
    <w:rsid w:val="009F4277"/>
    <w:rsid w:val="009F60A7"/>
    <w:rsid w:val="009F7E97"/>
    <w:rsid w:val="00A002F4"/>
    <w:rsid w:val="00A02E43"/>
    <w:rsid w:val="00A065F9"/>
    <w:rsid w:val="00A07DD8"/>
    <w:rsid w:val="00A07F34"/>
    <w:rsid w:val="00A108BB"/>
    <w:rsid w:val="00A11A84"/>
    <w:rsid w:val="00A12127"/>
    <w:rsid w:val="00A12540"/>
    <w:rsid w:val="00A14BCE"/>
    <w:rsid w:val="00A15675"/>
    <w:rsid w:val="00A16100"/>
    <w:rsid w:val="00A22154"/>
    <w:rsid w:val="00A229E2"/>
    <w:rsid w:val="00A24978"/>
    <w:rsid w:val="00A25C38"/>
    <w:rsid w:val="00A36BBE"/>
    <w:rsid w:val="00A4146E"/>
    <w:rsid w:val="00A4307A"/>
    <w:rsid w:val="00A44B56"/>
    <w:rsid w:val="00A46498"/>
    <w:rsid w:val="00A46B04"/>
    <w:rsid w:val="00A46BA8"/>
    <w:rsid w:val="00A47EBB"/>
    <w:rsid w:val="00A506FA"/>
    <w:rsid w:val="00A51529"/>
    <w:rsid w:val="00A51CDD"/>
    <w:rsid w:val="00A53DCB"/>
    <w:rsid w:val="00A5730D"/>
    <w:rsid w:val="00A576F0"/>
    <w:rsid w:val="00A6233F"/>
    <w:rsid w:val="00A63073"/>
    <w:rsid w:val="00A652A8"/>
    <w:rsid w:val="00A660BD"/>
    <w:rsid w:val="00A6730D"/>
    <w:rsid w:val="00A71625"/>
    <w:rsid w:val="00A71B9B"/>
    <w:rsid w:val="00A71C54"/>
    <w:rsid w:val="00A73646"/>
    <w:rsid w:val="00A751C7"/>
    <w:rsid w:val="00A76DD9"/>
    <w:rsid w:val="00A82E8F"/>
    <w:rsid w:val="00A83CD3"/>
    <w:rsid w:val="00A8473F"/>
    <w:rsid w:val="00A85DCC"/>
    <w:rsid w:val="00A86B5C"/>
    <w:rsid w:val="00A87844"/>
    <w:rsid w:val="00A903F4"/>
    <w:rsid w:val="00A9079D"/>
    <w:rsid w:val="00A91D59"/>
    <w:rsid w:val="00A92073"/>
    <w:rsid w:val="00A92BA5"/>
    <w:rsid w:val="00A93204"/>
    <w:rsid w:val="00A9537C"/>
    <w:rsid w:val="00AA038C"/>
    <w:rsid w:val="00AA0DB3"/>
    <w:rsid w:val="00AA15EF"/>
    <w:rsid w:val="00AA2B67"/>
    <w:rsid w:val="00AA7A09"/>
    <w:rsid w:val="00AA7EB1"/>
    <w:rsid w:val="00AB09B7"/>
    <w:rsid w:val="00AB0AE2"/>
    <w:rsid w:val="00AB2507"/>
    <w:rsid w:val="00AB2993"/>
    <w:rsid w:val="00AB3B50"/>
    <w:rsid w:val="00AB3F1F"/>
    <w:rsid w:val="00AB4F4C"/>
    <w:rsid w:val="00AC05B1"/>
    <w:rsid w:val="00AC0B4F"/>
    <w:rsid w:val="00AC200F"/>
    <w:rsid w:val="00AC2460"/>
    <w:rsid w:val="00AC3983"/>
    <w:rsid w:val="00AC4DB7"/>
    <w:rsid w:val="00AC5A25"/>
    <w:rsid w:val="00AC5ABC"/>
    <w:rsid w:val="00AC5D9F"/>
    <w:rsid w:val="00AC7364"/>
    <w:rsid w:val="00AD0BBF"/>
    <w:rsid w:val="00AD1630"/>
    <w:rsid w:val="00AD32C0"/>
    <w:rsid w:val="00AD356C"/>
    <w:rsid w:val="00AD5050"/>
    <w:rsid w:val="00AD7716"/>
    <w:rsid w:val="00AE2914"/>
    <w:rsid w:val="00AE3BBB"/>
    <w:rsid w:val="00AE4251"/>
    <w:rsid w:val="00AE472D"/>
    <w:rsid w:val="00AE6D15"/>
    <w:rsid w:val="00AF172B"/>
    <w:rsid w:val="00AF2AF5"/>
    <w:rsid w:val="00AF416A"/>
    <w:rsid w:val="00AF6C8F"/>
    <w:rsid w:val="00AF6DC5"/>
    <w:rsid w:val="00AF78DB"/>
    <w:rsid w:val="00B01FF5"/>
    <w:rsid w:val="00B0254D"/>
    <w:rsid w:val="00B04182"/>
    <w:rsid w:val="00B04226"/>
    <w:rsid w:val="00B04DFE"/>
    <w:rsid w:val="00B0596E"/>
    <w:rsid w:val="00B07AE3"/>
    <w:rsid w:val="00B10320"/>
    <w:rsid w:val="00B11005"/>
    <w:rsid w:val="00B11247"/>
    <w:rsid w:val="00B11430"/>
    <w:rsid w:val="00B126BC"/>
    <w:rsid w:val="00B15D1C"/>
    <w:rsid w:val="00B16101"/>
    <w:rsid w:val="00B17E0B"/>
    <w:rsid w:val="00B203D1"/>
    <w:rsid w:val="00B21006"/>
    <w:rsid w:val="00B25E0F"/>
    <w:rsid w:val="00B27036"/>
    <w:rsid w:val="00B30B0D"/>
    <w:rsid w:val="00B30D3B"/>
    <w:rsid w:val="00B321D4"/>
    <w:rsid w:val="00B32B0E"/>
    <w:rsid w:val="00B33750"/>
    <w:rsid w:val="00B33E80"/>
    <w:rsid w:val="00B350B7"/>
    <w:rsid w:val="00B353EB"/>
    <w:rsid w:val="00B36D15"/>
    <w:rsid w:val="00B40493"/>
    <w:rsid w:val="00B43870"/>
    <w:rsid w:val="00B438D4"/>
    <w:rsid w:val="00B439C4"/>
    <w:rsid w:val="00B44DC4"/>
    <w:rsid w:val="00B45223"/>
    <w:rsid w:val="00B4535E"/>
    <w:rsid w:val="00B479B2"/>
    <w:rsid w:val="00B50DD0"/>
    <w:rsid w:val="00B52A8C"/>
    <w:rsid w:val="00B56C2F"/>
    <w:rsid w:val="00B5792D"/>
    <w:rsid w:val="00B57B90"/>
    <w:rsid w:val="00B60578"/>
    <w:rsid w:val="00B636A8"/>
    <w:rsid w:val="00B648C4"/>
    <w:rsid w:val="00B665C6"/>
    <w:rsid w:val="00B674E9"/>
    <w:rsid w:val="00B73587"/>
    <w:rsid w:val="00B74AFA"/>
    <w:rsid w:val="00B74C04"/>
    <w:rsid w:val="00B76009"/>
    <w:rsid w:val="00B77FD0"/>
    <w:rsid w:val="00B805AF"/>
    <w:rsid w:val="00B83A5F"/>
    <w:rsid w:val="00B84BFD"/>
    <w:rsid w:val="00B86190"/>
    <w:rsid w:val="00B869EC"/>
    <w:rsid w:val="00B9097B"/>
    <w:rsid w:val="00B90BBA"/>
    <w:rsid w:val="00B937D6"/>
    <w:rsid w:val="00B9397A"/>
    <w:rsid w:val="00B9633D"/>
    <w:rsid w:val="00BA2EBE"/>
    <w:rsid w:val="00BA31EC"/>
    <w:rsid w:val="00BA3333"/>
    <w:rsid w:val="00BA3E14"/>
    <w:rsid w:val="00BA4559"/>
    <w:rsid w:val="00BA4D1E"/>
    <w:rsid w:val="00BB0F28"/>
    <w:rsid w:val="00BB14BC"/>
    <w:rsid w:val="00BB305C"/>
    <w:rsid w:val="00BB3384"/>
    <w:rsid w:val="00BB458A"/>
    <w:rsid w:val="00BB6E1C"/>
    <w:rsid w:val="00BC081A"/>
    <w:rsid w:val="00BC3F06"/>
    <w:rsid w:val="00BC413D"/>
    <w:rsid w:val="00BC4335"/>
    <w:rsid w:val="00BC4E39"/>
    <w:rsid w:val="00BC56E0"/>
    <w:rsid w:val="00BC69F3"/>
    <w:rsid w:val="00BC7CBA"/>
    <w:rsid w:val="00BD00D3"/>
    <w:rsid w:val="00BD01C0"/>
    <w:rsid w:val="00BD1659"/>
    <w:rsid w:val="00BD1952"/>
    <w:rsid w:val="00BD1EAD"/>
    <w:rsid w:val="00BD374E"/>
    <w:rsid w:val="00BD3AA9"/>
    <w:rsid w:val="00BD4A18"/>
    <w:rsid w:val="00BD6DB2"/>
    <w:rsid w:val="00BD7B99"/>
    <w:rsid w:val="00BD7F8C"/>
    <w:rsid w:val="00BE0BCD"/>
    <w:rsid w:val="00BE11CF"/>
    <w:rsid w:val="00BE207D"/>
    <w:rsid w:val="00BE2103"/>
    <w:rsid w:val="00BE21AB"/>
    <w:rsid w:val="00BE2D20"/>
    <w:rsid w:val="00BE2ECB"/>
    <w:rsid w:val="00BE314C"/>
    <w:rsid w:val="00BE3642"/>
    <w:rsid w:val="00BE4420"/>
    <w:rsid w:val="00BE527C"/>
    <w:rsid w:val="00BE55CB"/>
    <w:rsid w:val="00BE7E49"/>
    <w:rsid w:val="00BF617A"/>
    <w:rsid w:val="00BF6905"/>
    <w:rsid w:val="00BF76E2"/>
    <w:rsid w:val="00C0379D"/>
    <w:rsid w:val="00C03931"/>
    <w:rsid w:val="00C048EA"/>
    <w:rsid w:val="00C0510A"/>
    <w:rsid w:val="00C05746"/>
    <w:rsid w:val="00C05FE3"/>
    <w:rsid w:val="00C13B1B"/>
    <w:rsid w:val="00C20229"/>
    <w:rsid w:val="00C212A6"/>
    <w:rsid w:val="00C2136D"/>
    <w:rsid w:val="00C214EE"/>
    <w:rsid w:val="00C2314B"/>
    <w:rsid w:val="00C23675"/>
    <w:rsid w:val="00C23BB9"/>
    <w:rsid w:val="00C24098"/>
    <w:rsid w:val="00C246E5"/>
    <w:rsid w:val="00C24971"/>
    <w:rsid w:val="00C2636F"/>
    <w:rsid w:val="00C2678B"/>
    <w:rsid w:val="00C26BE5"/>
    <w:rsid w:val="00C26E4D"/>
    <w:rsid w:val="00C27909"/>
    <w:rsid w:val="00C27B03"/>
    <w:rsid w:val="00C3121F"/>
    <w:rsid w:val="00C314E1"/>
    <w:rsid w:val="00C32E6A"/>
    <w:rsid w:val="00C3392A"/>
    <w:rsid w:val="00C34397"/>
    <w:rsid w:val="00C376D3"/>
    <w:rsid w:val="00C37975"/>
    <w:rsid w:val="00C4095D"/>
    <w:rsid w:val="00C40AB8"/>
    <w:rsid w:val="00C40EC0"/>
    <w:rsid w:val="00C40EF6"/>
    <w:rsid w:val="00C411A3"/>
    <w:rsid w:val="00C41618"/>
    <w:rsid w:val="00C44797"/>
    <w:rsid w:val="00C45C3A"/>
    <w:rsid w:val="00C45E9B"/>
    <w:rsid w:val="00C4649E"/>
    <w:rsid w:val="00C46694"/>
    <w:rsid w:val="00C471D1"/>
    <w:rsid w:val="00C5303F"/>
    <w:rsid w:val="00C53789"/>
    <w:rsid w:val="00C542E1"/>
    <w:rsid w:val="00C54519"/>
    <w:rsid w:val="00C54E6B"/>
    <w:rsid w:val="00C601D2"/>
    <w:rsid w:val="00C61E26"/>
    <w:rsid w:val="00C62508"/>
    <w:rsid w:val="00C63225"/>
    <w:rsid w:val="00C63454"/>
    <w:rsid w:val="00C657AB"/>
    <w:rsid w:val="00C65BCC"/>
    <w:rsid w:val="00C65E0B"/>
    <w:rsid w:val="00C6618E"/>
    <w:rsid w:val="00C66970"/>
    <w:rsid w:val="00C6716F"/>
    <w:rsid w:val="00C67C68"/>
    <w:rsid w:val="00C720BF"/>
    <w:rsid w:val="00C726C7"/>
    <w:rsid w:val="00C73B58"/>
    <w:rsid w:val="00C7586E"/>
    <w:rsid w:val="00C763C1"/>
    <w:rsid w:val="00C776BF"/>
    <w:rsid w:val="00C846E3"/>
    <w:rsid w:val="00C8540F"/>
    <w:rsid w:val="00C8691C"/>
    <w:rsid w:val="00C90C01"/>
    <w:rsid w:val="00C9148C"/>
    <w:rsid w:val="00C92928"/>
    <w:rsid w:val="00C95847"/>
    <w:rsid w:val="00C96826"/>
    <w:rsid w:val="00C970FF"/>
    <w:rsid w:val="00CA168A"/>
    <w:rsid w:val="00CA32B5"/>
    <w:rsid w:val="00CA357E"/>
    <w:rsid w:val="00CA44F9"/>
    <w:rsid w:val="00CA4A69"/>
    <w:rsid w:val="00CA55A7"/>
    <w:rsid w:val="00CA5C63"/>
    <w:rsid w:val="00CA6B6D"/>
    <w:rsid w:val="00CB2A54"/>
    <w:rsid w:val="00CB3A10"/>
    <w:rsid w:val="00CB7C46"/>
    <w:rsid w:val="00CC0F58"/>
    <w:rsid w:val="00CC20D4"/>
    <w:rsid w:val="00CC3E0C"/>
    <w:rsid w:val="00CC58D3"/>
    <w:rsid w:val="00CC6763"/>
    <w:rsid w:val="00CC717A"/>
    <w:rsid w:val="00CC784D"/>
    <w:rsid w:val="00CD12FE"/>
    <w:rsid w:val="00CD26BB"/>
    <w:rsid w:val="00CD2B7A"/>
    <w:rsid w:val="00CD359F"/>
    <w:rsid w:val="00CD516B"/>
    <w:rsid w:val="00CD65F7"/>
    <w:rsid w:val="00CD71C0"/>
    <w:rsid w:val="00CE2B5F"/>
    <w:rsid w:val="00CE3545"/>
    <w:rsid w:val="00CE5B41"/>
    <w:rsid w:val="00CE6ADA"/>
    <w:rsid w:val="00CE7119"/>
    <w:rsid w:val="00CE794A"/>
    <w:rsid w:val="00CF6801"/>
    <w:rsid w:val="00D00AE6"/>
    <w:rsid w:val="00D022CF"/>
    <w:rsid w:val="00D0337B"/>
    <w:rsid w:val="00D05649"/>
    <w:rsid w:val="00D06E4C"/>
    <w:rsid w:val="00D079B2"/>
    <w:rsid w:val="00D10D53"/>
    <w:rsid w:val="00D114E9"/>
    <w:rsid w:val="00D12536"/>
    <w:rsid w:val="00D12CC3"/>
    <w:rsid w:val="00D14442"/>
    <w:rsid w:val="00D15CDD"/>
    <w:rsid w:val="00D16598"/>
    <w:rsid w:val="00D17EAA"/>
    <w:rsid w:val="00D21F60"/>
    <w:rsid w:val="00D2595C"/>
    <w:rsid w:val="00D260E9"/>
    <w:rsid w:val="00D261AB"/>
    <w:rsid w:val="00D27DCC"/>
    <w:rsid w:val="00D33519"/>
    <w:rsid w:val="00D34219"/>
    <w:rsid w:val="00D36F95"/>
    <w:rsid w:val="00D40239"/>
    <w:rsid w:val="00D429C6"/>
    <w:rsid w:val="00D46606"/>
    <w:rsid w:val="00D47748"/>
    <w:rsid w:val="00D47968"/>
    <w:rsid w:val="00D510B3"/>
    <w:rsid w:val="00D51464"/>
    <w:rsid w:val="00D5264D"/>
    <w:rsid w:val="00D534FD"/>
    <w:rsid w:val="00D543A4"/>
    <w:rsid w:val="00D54442"/>
    <w:rsid w:val="00D54CC3"/>
    <w:rsid w:val="00D6041A"/>
    <w:rsid w:val="00D633EB"/>
    <w:rsid w:val="00D638E3"/>
    <w:rsid w:val="00D643CD"/>
    <w:rsid w:val="00D6497B"/>
    <w:rsid w:val="00D65FF4"/>
    <w:rsid w:val="00D70BD4"/>
    <w:rsid w:val="00D72AD6"/>
    <w:rsid w:val="00D735AE"/>
    <w:rsid w:val="00D7398C"/>
    <w:rsid w:val="00D74391"/>
    <w:rsid w:val="00D75C46"/>
    <w:rsid w:val="00D77F12"/>
    <w:rsid w:val="00D80419"/>
    <w:rsid w:val="00D82A34"/>
    <w:rsid w:val="00D82FF7"/>
    <w:rsid w:val="00D847FE"/>
    <w:rsid w:val="00D84F5F"/>
    <w:rsid w:val="00D914EF"/>
    <w:rsid w:val="00D91EC4"/>
    <w:rsid w:val="00D93CBF"/>
    <w:rsid w:val="00D94EFD"/>
    <w:rsid w:val="00D964EA"/>
    <w:rsid w:val="00D966D0"/>
    <w:rsid w:val="00D96C41"/>
    <w:rsid w:val="00D97382"/>
    <w:rsid w:val="00DA032A"/>
    <w:rsid w:val="00DA0A87"/>
    <w:rsid w:val="00DA0C59"/>
    <w:rsid w:val="00DA3991"/>
    <w:rsid w:val="00DA3A53"/>
    <w:rsid w:val="00DA4B74"/>
    <w:rsid w:val="00DA62EA"/>
    <w:rsid w:val="00DA6698"/>
    <w:rsid w:val="00DB0407"/>
    <w:rsid w:val="00DB2942"/>
    <w:rsid w:val="00DB2A28"/>
    <w:rsid w:val="00DB3121"/>
    <w:rsid w:val="00DB404B"/>
    <w:rsid w:val="00DB4BAE"/>
    <w:rsid w:val="00DB54A4"/>
    <w:rsid w:val="00DB757A"/>
    <w:rsid w:val="00DB7647"/>
    <w:rsid w:val="00DB7E6C"/>
    <w:rsid w:val="00DC61B2"/>
    <w:rsid w:val="00DD4270"/>
    <w:rsid w:val="00DD5A29"/>
    <w:rsid w:val="00DD5D9D"/>
    <w:rsid w:val="00DD6F79"/>
    <w:rsid w:val="00DE118D"/>
    <w:rsid w:val="00DE1A3E"/>
    <w:rsid w:val="00DE35CB"/>
    <w:rsid w:val="00DE3A59"/>
    <w:rsid w:val="00DE4923"/>
    <w:rsid w:val="00DE51B8"/>
    <w:rsid w:val="00DE563B"/>
    <w:rsid w:val="00DF21E9"/>
    <w:rsid w:val="00DF70A7"/>
    <w:rsid w:val="00E00F14"/>
    <w:rsid w:val="00E02929"/>
    <w:rsid w:val="00E03BCA"/>
    <w:rsid w:val="00E03D0C"/>
    <w:rsid w:val="00E049B6"/>
    <w:rsid w:val="00E06386"/>
    <w:rsid w:val="00E079D8"/>
    <w:rsid w:val="00E10651"/>
    <w:rsid w:val="00E11276"/>
    <w:rsid w:val="00E1502A"/>
    <w:rsid w:val="00E15980"/>
    <w:rsid w:val="00E167BF"/>
    <w:rsid w:val="00E201DF"/>
    <w:rsid w:val="00E224F3"/>
    <w:rsid w:val="00E23032"/>
    <w:rsid w:val="00E24EB4"/>
    <w:rsid w:val="00E25AB8"/>
    <w:rsid w:val="00E2785F"/>
    <w:rsid w:val="00E31242"/>
    <w:rsid w:val="00E31B07"/>
    <w:rsid w:val="00E31B4A"/>
    <w:rsid w:val="00E31FD9"/>
    <w:rsid w:val="00E320ED"/>
    <w:rsid w:val="00E336CD"/>
    <w:rsid w:val="00E33AFB"/>
    <w:rsid w:val="00E34218"/>
    <w:rsid w:val="00E40DC0"/>
    <w:rsid w:val="00E40E0F"/>
    <w:rsid w:val="00E41B2C"/>
    <w:rsid w:val="00E45201"/>
    <w:rsid w:val="00E46282"/>
    <w:rsid w:val="00E472E4"/>
    <w:rsid w:val="00E47EC8"/>
    <w:rsid w:val="00E50897"/>
    <w:rsid w:val="00E5216E"/>
    <w:rsid w:val="00E522E6"/>
    <w:rsid w:val="00E55E23"/>
    <w:rsid w:val="00E564EC"/>
    <w:rsid w:val="00E56636"/>
    <w:rsid w:val="00E627EA"/>
    <w:rsid w:val="00E64E01"/>
    <w:rsid w:val="00E66633"/>
    <w:rsid w:val="00E73133"/>
    <w:rsid w:val="00E739F3"/>
    <w:rsid w:val="00E74123"/>
    <w:rsid w:val="00E74D91"/>
    <w:rsid w:val="00E75E82"/>
    <w:rsid w:val="00E767AD"/>
    <w:rsid w:val="00E8202E"/>
    <w:rsid w:val="00E82344"/>
    <w:rsid w:val="00E82D11"/>
    <w:rsid w:val="00E832E0"/>
    <w:rsid w:val="00E84C82"/>
    <w:rsid w:val="00E84D64"/>
    <w:rsid w:val="00E87408"/>
    <w:rsid w:val="00E8789C"/>
    <w:rsid w:val="00E914C4"/>
    <w:rsid w:val="00E91781"/>
    <w:rsid w:val="00E934F5"/>
    <w:rsid w:val="00E96462"/>
    <w:rsid w:val="00E967B5"/>
    <w:rsid w:val="00E96961"/>
    <w:rsid w:val="00E97759"/>
    <w:rsid w:val="00E97CD3"/>
    <w:rsid w:val="00EA05F2"/>
    <w:rsid w:val="00EA1193"/>
    <w:rsid w:val="00EA1A44"/>
    <w:rsid w:val="00EA3AB0"/>
    <w:rsid w:val="00EA4521"/>
    <w:rsid w:val="00EA50D9"/>
    <w:rsid w:val="00EA56EB"/>
    <w:rsid w:val="00EA72EC"/>
    <w:rsid w:val="00EB0958"/>
    <w:rsid w:val="00EB0B17"/>
    <w:rsid w:val="00EB11CB"/>
    <w:rsid w:val="00EB16E1"/>
    <w:rsid w:val="00EB275A"/>
    <w:rsid w:val="00EB485C"/>
    <w:rsid w:val="00EB5C00"/>
    <w:rsid w:val="00EB6F68"/>
    <w:rsid w:val="00EB786A"/>
    <w:rsid w:val="00EC1578"/>
    <w:rsid w:val="00EC1726"/>
    <w:rsid w:val="00EC1C72"/>
    <w:rsid w:val="00EC1FDA"/>
    <w:rsid w:val="00EC1FF1"/>
    <w:rsid w:val="00EC3C5E"/>
    <w:rsid w:val="00EC3CC9"/>
    <w:rsid w:val="00EC680A"/>
    <w:rsid w:val="00ED46D2"/>
    <w:rsid w:val="00ED5524"/>
    <w:rsid w:val="00ED5977"/>
    <w:rsid w:val="00ED5AC9"/>
    <w:rsid w:val="00ED5C66"/>
    <w:rsid w:val="00EE08D9"/>
    <w:rsid w:val="00EE2BED"/>
    <w:rsid w:val="00EE359A"/>
    <w:rsid w:val="00EE374B"/>
    <w:rsid w:val="00EE3ADB"/>
    <w:rsid w:val="00EE44C9"/>
    <w:rsid w:val="00EE599C"/>
    <w:rsid w:val="00EE5A06"/>
    <w:rsid w:val="00EE7FB6"/>
    <w:rsid w:val="00EF1A03"/>
    <w:rsid w:val="00EF1B31"/>
    <w:rsid w:val="00EF23F0"/>
    <w:rsid w:val="00EF4DF4"/>
    <w:rsid w:val="00EF5288"/>
    <w:rsid w:val="00EF5B17"/>
    <w:rsid w:val="00EF6F75"/>
    <w:rsid w:val="00EF7235"/>
    <w:rsid w:val="00EF7B67"/>
    <w:rsid w:val="00F021D1"/>
    <w:rsid w:val="00F05FB7"/>
    <w:rsid w:val="00F07928"/>
    <w:rsid w:val="00F11BB5"/>
    <w:rsid w:val="00F12E17"/>
    <w:rsid w:val="00F13209"/>
    <w:rsid w:val="00F13363"/>
    <w:rsid w:val="00F13C55"/>
    <w:rsid w:val="00F1417B"/>
    <w:rsid w:val="00F15085"/>
    <w:rsid w:val="00F15F2E"/>
    <w:rsid w:val="00F203B0"/>
    <w:rsid w:val="00F21012"/>
    <w:rsid w:val="00F22143"/>
    <w:rsid w:val="00F22ECD"/>
    <w:rsid w:val="00F252F1"/>
    <w:rsid w:val="00F26E64"/>
    <w:rsid w:val="00F276A3"/>
    <w:rsid w:val="00F319D5"/>
    <w:rsid w:val="00F342E3"/>
    <w:rsid w:val="00F34A6A"/>
    <w:rsid w:val="00F34A93"/>
    <w:rsid w:val="00F34B99"/>
    <w:rsid w:val="00F3573C"/>
    <w:rsid w:val="00F35B23"/>
    <w:rsid w:val="00F365C8"/>
    <w:rsid w:val="00F42F89"/>
    <w:rsid w:val="00F45A30"/>
    <w:rsid w:val="00F46441"/>
    <w:rsid w:val="00F47797"/>
    <w:rsid w:val="00F52DAB"/>
    <w:rsid w:val="00F5319E"/>
    <w:rsid w:val="00F543F0"/>
    <w:rsid w:val="00F54A9B"/>
    <w:rsid w:val="00F54AA6"/>
    <w:rsid w:val="00F6249E"/>
    <w:rsid w:val="00F63100"/>
    <w:rsid w:val="00F635A5"/>
    <w:rsid w:val="00F63705"/>
    <w:rsid w:val="00F63957"/>
    <w:rsid w:val="00F63D30"/>
    <w:rsid w:val="00F66E18"/>
    <w:rsid w:val="00F6717F"/>
    <w:rsid w:val="00F673FB"/>
    <w:rsid w:val="00F70FE5"/>
    <w:rsid w:val="00F7190B"/>
    <w:rsid w:val="00F7190F"/>
    <w:rsid w:val="00F742B2"/>
    <w:rsid w:val="00F76E9E"/>
    <w:rsid w:val="00F77180"/>
    <w:rsid w:val="00F80941"/>
    <w:rsid w:val="00F80997"/>
    <w:rsid w:val="00F810A8"/>
    <w:rsid w:val="00F810E9"/>
    <w:rsid w:val="00F81D29"/>
    <w:rsid w:val="00F8238B"/>
    <w:rsid w:val="00F828C3"/>
    <w:rsid w:val="00F838FD"/>
    <w:rsid w:val="00F84089"/>
    <w:rsid w:val="00F843EA"/>
    <w:rsid w:val="00F84F62"/>
    <w:rsid w:val="00F864A1"/>
    <w:rsid w:val="00F87618"/>
    <w:rsid w:val="00F91C4D"/>
    <w:rsid w:val="00F923A4"/>
    <w:rsid w:val="00F92FD9"/>
    <w:rsid w:val="00F9414D"/>
    <w:rsid w:val="00F94BB0"/>
    <w:rsid w:val="00F95960"/>
    <w:rsid w:val="00F96FF9"/>
    <w:rsid w:val="00FA0EB4"/>
    <w:rsid w:val="00FA148D"/>
    <w:rsid w:val="00FA150B"/>
    <w:rsid w:val="00FA3366"/>
    <w:rsid w:val="00FA3407"/>
    <w:rsid w:val="00FA3DF4"/>
    <w:rsid w:val="00FA59A8"/>
    <w:rsid w:val="00FA6684"/>
    <w:rsid w:val="00FA731E"/>
    <w:rsid w:val="00FA7EDD"/>
    <w:rsid w:val="00FB0D18"/>
    <w:rsid w:val="00FB1DF0"/>
    <w:rsid w:val="00FB229E"/>
    <w:rsid w:val="00FB24E3"/>
    <w:rsid w:val="00FB2630"/>
    <w:rsid w:val="00FB2B38"/>
    <w:rsid w:val="00FB307E"/>
    <w:rsid w:val="00FB4A28"/>
    <w:rsid w:val="00FB4C6C"/>
    <w:rsid w:val="00FB5157"/>
    <w:rsid w:val="00FB524B"/>
    <w:rsid w:val="00FB7D29"/>
    <w:rsid w:val="00FC1169"/>
    <w:rsid w:val="00FC1423"/>
    <w:rsid w:val="00FC4590"/>
    <w:rsid w:val="00FC6358"/>
    <w:rsid w:val="00FC714E"/>
    <w:rsid w:val="00FD320D"/>
    <w:rsid w:val="00FD49CB"/>
    <w:rsid w:val="00FD7604"/>
    <w:rsid w:val="00FD7B06"/>
    <w:rsid w:val="00FE23DE"/>
    <w:rsid w:val="00FE3AE4"/>
    <w:rsid w:val="00FE58E7"/>
    <w:rsid w:val="00FE5E93"/>
    <w:rsid w:val="00FE65F5"/>
    <w:rsid w:val="00FE7734"/>
    <w:rsid w:val="00FF1A15"/>
    <w:rsid w:val="00FF1DFB"/>
    <w:rsid w:val="00FF2228"/>
    <w:rsid w:val="00FF24FE"/>
    <w:rsid w:val="00FF32A8"/>
    <w:rsid w:val="00FF6EDE"/>
    <w:rsid w:val="06361B7E"/>
    <w:rsid w:val="20E01144"/>
    <w:rsid w:val="2CCF3CB0"/>
    <w:rsid w:val="37051424"/>
    <w:rsid w:val="3FE76FA8"/>
    <w:rsid w:val="492D20CE"/>
    <w:rsid w:val="5A8F30A4"/>
    <w:rsid w:val="5D4E3D26"/>
    <w:rsid w:val="69E727E2"/>
    <w:rsid w:val="70A973BF"/>
    <w:rsid w:val="74415011"/>
    <w:rsid w:val="763F67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nhideWhenUsed="0"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4"/>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95"/>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08"/>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42">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39"/>
    <w:pPr>
      <w:tabs>
        <w:tab w:val="right" w:leader="dot" w:pos="9241"/>
      </w:tabs>
      <w:ind w:firstLine="505" w:firstLineChars="500"/>
      <w:jc w:val="left"/>
    </w:pPr>
    <w:rPr>
      <w:rFonts w:ascii="宋体"/>
      <w:szCs w:val="21"/>
    </w:rPr>
  </w:style>
  <w:style w:type="paragraph" w:styleId="7">
    <w:name w:val="index 8"/>
    <w:basedOn w:val="1"/>
    <w:next w:val="1"/>
    <w:autoRedefine/>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autoRedefine/>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annotation text"/>
    <w:basedOn w:val="1"/>
    <w:link w:val="148"/>
    <w:qFormat/>
    <w:uiPriority w:val="0"/>
    <w:pPr>
      <w:jc w:val="left"/>
    </w:pPr>
    <w:rPr>
      <w:lang w:val="zh-CN"/>
    </w:rPr>
  </w:style>
  <w:style w:type="paragraph" w:styleId="12">
    <w:name w:val="index 6"/>
    <w:basedOn w:val="1"/>
    <w:next w:val="1"/>
    <w:autoRedefine/>
    <w:qFormat/>
    <w:uiPriority w:val="0"/>
    <w:pPr>
      <w:ind w:left="1260" w:hanging="210"/>
      <w:jc w:val="left"/>
    </w:pPr>
    <w:rPr>
      <w:rFonts w:ascii="Calibri" w:hAnsi="Calibri"/>
      <w:sz w:val="20"/>
      <w:szCs w:val="20"/>
    </w:rPr>
  </w:style>
  <w:style w:type="paragraph" w:styleId="13">
    <w:name w:val="Body Text 3"/>
    <w:basedOn w:val="1"/>
    <w:link w:val="200"/>
    <w:qFormat/>
    <w:uiPriority w:val="0"/>
    <w:pPr>
      <w:autoSpaceDE w:val="0"/>
      <w:autoSpaceDN w:val="0"/>
      <w:spacing w:before="36"/>
      <w:ind w:right="-126"/>
      <w:jc w:val="left"/>
    </w:pPr>
    <w:rPr>
      <w:rFonts w:ascii="Arial" w:hAnsi="Arial" w:cs="Arial"/>
      <w:kern w:val="0"/>
      <w:sz w:val="18"/>
      <w:szCs w:val="18"/>
    </w:rPr>
  </w:style>
  <w:style w:type="paragraph" w:styleId="14">
    <w:name w:val="index 4"/>
    <w:basedOn w:val="1"/>
    <w:next w:val="1"/>
    <w:autoRedefine/>
    <w:qFormat/>
    <w:uiPriority w:val="0"/>
    <w:pPr>
      <w:ind w:left="840" w:hanging="210"/>
      <w:jc w:val="left"/>
    </w:pPr>
    <w:rPr>
      <w:rFonts w:ascii="Calibri" w:hAnsi="Calibri"/>
      <w:sz w:val="20"/>
      <w:szCs w:val="20"/>
    </w:rPr>
  </w:style>
  <w:style w:type="paragraph" w:styleId="15">
    <w:name w:val="toc 5"/>
    <w:basedOn w:val="1"/>
    <w:next w:val="1"/>
    <w:autoRedefine/>
    <w:qFormat/>
    <w:uiPriority w:val="39"/>
    <w:pPr>
      <w:tabs>
        <w:tab w:val="right" w:leader="dot" w:pos="9241"/>
      </w:tabs>
      <w:ind w:firstLine="300" w:firstLineChars="300"/>
      <w:jc w:val="left"/>
    </w:pPr>
    <w:rPr>
      <w:rFonts w:ascii="宋体"/>
      <w:szCs w:val="21"/>
    </w:rPr>
  </w:style>
  <w:style w:type="paragraph" w:styleId="16">
    <w:name w:val="toc 3"/>
    <w:basedOn w:val="1"/>
    <w:next w:val="1"/>
    <w:autoRedefine/>
    <w:qFormat/>
    <w:uiPriority w:val="39"/>
    <w:pPr>
      <w:tabs>
        <w:tab w:val="right" w:leader="dot" w:pos="9241"/>
      </w:tabs>
      <w:ind w:firstLine="102" w:firstLineChars="100"/>
      <w:jc w:val="left"/>
    </w:pPr>
    <w:rPr>
      <w:rFonts w:ascii="宋体"/>
      <w:szCs w:val="21"/>
    </w:rPr>
  </w:style>
  <w:style w:type="paragraph" w:styleId="17">
    <w:name w:val="toc 8"/>
    <w:basedOn w:val="1"/>
    <w:next w:val="1"/>
    <w:autoRedefine/>
    <w:qFormat/>
    <w:uiPriority w:val="39"/>
    <w:pPr>
      <w:tabs>
        <w:tab w:val="right" w:leader="dot" w:pos="9241"/>
      </w:tabs>
      <w:ind w:firstLine="607" w:firstLineChars="600"/>
      <w:jc w:val="left"/>
    </w:pPr>
    <w:rPr>
      <w:rFonts w:ascii="宋体"/>
      <w:szCs w:val="21"/>
    </w:rPr>
  </w:style>
  <w:style w:type="paragraph" w:styleId="18">
    <w:name w:val="index 3"/>
    <w:basedOn w:val="1"/>
    <w:next w:val="1"/>
    <w:autoRedefine/>
    <w:qFormat/>
    <w:uiPriority w:val="0"/>
    <w:pPr>
      <w:ind w:left="630" w:hanging="210"/>
      <w:jc w:val="left"/>
    </w:pPr>
    <w:rPr>
      <w:rFonts w:ascii="Calibri" w:hAnsi="Calibri"/>
      <w:sz w:val="20"/>
      <w:szCs w:val="20"/>
    </w:rPr>
  </w:style>
  <w:style w:type="paragraph" w:styleId="19">
    <w:name w:val="Date"/>
    <w:basedOn w:val="1"/>
    <w:next w:val="1"/>
    <w:link w:val="150"/>
    <w:qFormat/>
    <w:uiPriority w:val="0"/>
    <w:pPr>
      <w:ind w:left="100" w:leftChars="2500"/>
    </w:pPr>
    <w:rPr>
      <w:lang w:val="zh-CN"/>
    </w:rPr>
  </w:style>
  <w:style w:type="paragraph" w:styleId="20">
    <w:name w:val="Body Text Indent 2"/>
    <w:basedOn w:val="1"/>
    <w:link w:val="203"/>
    <w:qFormat/>
    <w:uiPriority w:val="0"/>
    <w:pPr>
      <w:spacing w:after="120" w:line="480" w:lineRule="auto"/>
      <w:ind w:left="420" w:leftChars="200"/>
    </w:pPr>
  </w:style>
  <w:style w:type="paragraph" w:styleId="21">
    <w:name w:val="endnote text"/>
    <w:basedOn w:val="1"/>
    <w:semiHidden/>
    <w:qFormat/>
    <w:uiPriority w:val="0"/>
    <w:pPr>
      <w:snapToGrid w:val="0"/>
      <w:jc w:val="left"/>
    </w:pPr>
  </w:style>
  <w:style w:type="paragraph" w:styleId="22">
    <w:name w:val="Balloon Text"/>
    <w:basedOn w:val="1"/>
    <w:link w:val="147"/>
    <w:qFormat/>
    <w:uiPriority w:val="0"/>
    <w:rPr>
      <w:sz w:val="18"/>
      <w:szCs w:val="18"/>
      <w:lang w:val="zh-CN"/>
    </w:rPr>
  </w:style>
  <w:style w:type="paragraph" w:styleId="23">
    <w:name w:val="footer"/>
    <w:basedOn w:val="1"/>
    <w:link w:val="191"/>
    <w:qFormat/>
    <w:uiPriority w:val="0"/>
    <w:pPr>
      <w:snapToGrid w:val="0"/>
      <w:ind w:right="210" w:rightChars="100"/>
      <w:jc w:val="right"/>
    </w:pPr>
    <w:rPr>
      <w:sz w:val="18"/>
      <w:szCs w:val="18"/>
    </w:rPr>
  </w:style>
  <w:style w:type="paragraph" w:styleId="24">
    <w:name w:val="header"/>
    <w:basedOn w:val="1"/>
    <w:link w:val="192"/>
    <w:qFormat/>
    <w:uiPriority w:val="0"/>
    <w:pPr>
      <w:snapToGrid w:val="0"/>
      <w:jc w:val="left"/>
    </w:pPr>
    <w:rPr>
      <w:sz w:val="18"/>
      <w:szCs w:val="18"/>
    </w:rPr>
  </w:style>
  <w:style w:type="paragraph" w:styleId="25">
    <w:name w:val="toc 1"/>
    <w:basedOn w:val="1"/>
    <w:next w:val="1"/>
    <w:autoRedefine/>
    <w:qFormat/>
    <w:uiPriority w:val="39"/>
    <w:pPr>
      <w:tabs>
        <w:tab w:val="right" w:leader="dot" w:pos="9241"/>
      </w:tabs>
      <w:spacing w:before="25" w:beforeLines="25" w:after="25" w:afterLines="25"/>
      <w:jc w:val="left"/>
    </w:pPr>
    <w:rPr>
      <w:rFonts w:ascii="宋体"/>
      <w:szCs w:val="21"/>
    </w:rPr>
  </w:style>
  <w:style w:type="paragraph" w:styleId="26">
    <w:name w:val="toc 4"/>
    <w:basedOn w:val="1"/>
    <w:next w:val="1"/>
    <w:autoRedefine/>
    <w:qFormat/>
    <w:uiPriority w:val="39"/>
    <w:pPr>
      <w:tabs>
        <w:tab w:val="right" w:leader="dot" w:pos="9241"/>
      </w:tabs>
      <w:ind w:firstLine="198" w:firstLineChars="200"/>
      <w:jc w:val="left"/>
    </w:pPr>
    <w:rPr>
      <w:rFonts w:ascii="宋体"/>
      <w:szCs w:val="21"/>
    </w:rPr>
  </w:style>
  <w:style w:type="paragraph" w:styleId="27">
    <w:name w:val="index heading"/>
    <w:basedOn w:val="1"/>
    <w:next w:val="28"/>
    <w:qFormat/>
    <w:uiPriority w:val="0"/>
    <w:pPr>
      <w:spacing w:before="120" w:after="120"/>
      <w:jc w:val="center"/>
    </w:pPr>
    <w:rPr>
      <w:rFonts w:ascii="Calibri" w:hAnsi="Calibri"/>
      <w:b/>
      <w:bCs/>
      <w:iCs/>
      <w:szCs w:val="20"/>
    </w:rPr>
  </w:style>
  <w:style w:type="paragraph" w:styleId="28">
    <w:name w:val="index 1"/>
    <w:basedOn w:val="1"/>
    <w:next w:val="29"/>
    <w:qFormat/>
    <w:uiPriority w:val="0"/>
    <w:pPr>
      <w:tabs>
        <w:tab w:val="right" w:leader="dot" w:pos="9299"/>
      </w:tabs>
      <w:jc w:val="left"/>
    </w:pPr>
    <w:rPr>
      <w:rFonts w:ascii="宋体"/>
      <w:szCs w:val="21"/>
    </w:rPr>
  </w:style>
  <w:style w:type="paragraph" w:customStyle="1" w:styleId="29">
    <w:name w:val="段"/>
    <w:link w:val="5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0">
    <w:name w:val="footnote text"/>
    <w:basedOn w:val="1"/>
    <w:qFormat/>
    <w:uiPriority w:val="0"/>
    <w:pPr>
      <w:numPr>
        <w:ilvl w:val="0"/>
        <w:numId w:val="1"/>
      </w:numPr>
      <w:snapToGrid w:val="0"/>
      <w:jc w:val="left"/>
    </w:pPr>
    <w:rPr>
      <w:rFonts w:ascii="宋体"/>
      <w:sz w:val="18"/>
      <w:szCs w:val="18"/>
    </w:rPr>
  </w:style>
  <w:style w:type="paragraph" w:styleId="31">
    <w:name w:val="toc 6"/>
    <w:basedOn w:val="1"/>
    <w:next w:val="1"/>
    <w:autoRedefine/>
    <w:qFormat/>
    <w:uiPriority w:val="39"/>
    <w:pPr>
      <w:tabs>
        <w:tab w:val="right" w:leader="dot" w:pos="9241"/>
      </w:tabs>
      <w:ind w:firstLine="403" w:firstLineChars="400"/>
      <w:jc w:val="left"/>
    </w:pPr>
    <w:rPr>
      <w:rFonts w:ascii="宋体"/>
      <w:szCs w:val="21"/>
    </w:rPr>
  </w:style>
  <w:style w:type="paragraph" w:styleId="32">
    <w:name w:val="index 7"/>
    <w:basedOn w:val="1"/>
    <w:next w:val="1"/>
    <w:autoRedefine/>
    <w:qFormat/>
    <w:uiPriority w:val="0"/>
    <w:pPr>
      <w:ind w:left="1470" w:hanging="210"/>
      <w:jc w:val="left"/>
    </w:pPr>
    <w:rPr>
      <w:rFonts w:ascii="Calibri" w:hAnsi="Calibri"/>
      <w:sz w:val="20"/>
      <w:szCs w:val="20"/>
    </w:rPr>
  </w:style>
  <w:style w:type="paragraph" w:styleId="33">
    <w:name w:val="index 9"/>
    <w:basedOn w:val="1"/>
    <w:next w:val="1"/>
    <w:autoRedefine/>
    <w:qFormat/>
    <w:uiPriority w:val="0"/>
    <w:pPr>
      <w:ind w:left="1890" w:hanging="210"/>
      <w:jc w:val="left"/>
    </w:pPr>
    <w:rPr>
      <w:rFonts w:ascii="Calibri" w:hAnsi="Calibri"/>
      <w:sz w:val="20"/>
      <w:szCs w:val="20"/>
    </w:rPr>
  </w:style>
  <w:style w:type="paragraph" w:styleId="34">
    <w:name w:val="toc 2"/>
    <w:basedOn w:val="1"/>
    <w:next w:val="1"/>
    <w:autoRedefine/>
    <w:qFormat/>
    <w:uiPriority w:val="39"/>
    <w:pPr>
      <w:tabs>
        <w:tab w:val="right" w:leader="dot" w:pos="9241"/>
      </w:tabs>
    </w:pPr>
    <w:rPr>
      <w:rFonts w:ascii="宋体"/>
      <w:szCs w:val="21"/>
    </w:rPr>
  </w:style>
  <w:style w:type="paragraph" w:styleId="35">
    <w:name w:val="toc 9"/>
    <w:basedOn w:val="1"/>
    <w:next w:val="1"/>
    <w:autoRedefine/>
    <w:qFormat/>
    <w:uiPriority w:val="39"/>
    <w:pPr>
      <w:ind w:left="1470"/>
      <w:jc w:val="left"/>
    </w:pPr>
    <w:rPr>
      <w:sz w:val="20"/>
      <w:szCs w:val="20"/>
    </w:rPr>
  </w:style>
  <w:style w:type="paragraph" w:styleId="3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7">
    <w:name w:val="index 2"/>
    <w:basedOn w:val="1"/>
    <w:next w:val="1"/>
    <w:autoRedefine/>
    <w:qFormat/>
    <w:uiPriority w:val="0"/>
    <w:pPr>
      <w:ind w:left="420" w:hanging="210"/>
      <w:jc w:val="left"/>
    </w:pPr>
    <w:rPr>
      <w:rFonts w:ascii="Calibri" w:hAnsi="Calibri"/>
      <w:sz w:val="20"/>
      <w:szCs w:val="20"/>
    </w:rPr>
  </w:style>
  <w:style w:type="paragraph" w:styleId="38">
    <w:name w:val="Title"/>
    <w:basedOn w:val="1"/>
    <w:next w:val="1"/>
    <w:link w:val="206"/>
    <w:qFormat/>
    <w:uiPriority w:val="0"/>
    <w:pPr>
      <w:spacing w:before="120" w:after="120" w:line="360" w:lineRule="auto"/>
      <w:jc w:val="left"/>
      <w:outlineLvl w:val="0"/>
    </w:pPr>
    <w:rPr>
      <w:rFonts w:ascii="Cambria" w:hAnsi="Cambria" w:eastAsia="黑体"/>
      <w:bCs/>
      <w:szCs w:val="32"/>
    </w:rPr>
  </w:style>
  <w:style w:type="paragraph" w:styleId="39">
    <w:name w:val="annotation subject"/>
    <w:basedOn w:val="11"/>
    <w:next w:val="11"/>
    <w:link w:val="149"/>
    <w:qFormat/>
    <w:uiPriority w:val="0"/>
    <w:rPr>
      <w:b/>
      <w:bCs/>
    </w:rPr>
  </w:style>
  <w:style w:type="table" w:styleId="41">
    <w:name w:val="Table Grid"/>
    <w:basedOn w:val="40"/>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3">
    <w:name w:val="Strong"/>
    <w:qFormat/>
    <w:uiPriority w:val="22"/>
    <w:rPr>
      <w:b/>
      <w:bCs/>
    </w:rPr>
  </w:style>
  <w:style w:type="character" w:styleId="44">
    <w:name w:val="endnote reference"/>
    <w:semiHidden/>
    <w:qFormat/>
    <w:uiPriority w:val="0"/>
    <w:rPr>
      <w:vertAlign w:val="superscript"/>
    </w:rPr>
  </w:style>
  <w:style w:type="character" w:styleId="45">
    <w:name w:val="page number"/>
    <w:qFormat/>
    <w:uiPriority w:val="0"/>
    <w:rPr>
      <w:rFonts w:ascii="Times New Roman" w:hAnsi="Times New Roman" w:eastAsia="宋体"/>
      <w:sz w:val="18"/>
    </w:rPr>
  </w:style>
  <w:style w:type="character" w:styleId="46">
    <w:name w:val="FollowedHyperlink"/>
    <w:qFormat/>
    <w:uiPriority w:val="99"/>
    <w:rPr>
      <w:color w:val="800080"/>
      <w:u w:val="single"/>
    </w:rPr>
  </w:style>
  <w:style w:type="character" w:styleId="47">
    <w:name w:val="Hyperlink"/>
    <w:qFormat/>
    <w:uiPriority w:val="99"/>
    <w:rPr>
      <w:color w:val="0000FF"/>
      <w:spacing w:val="0"/>
      <w:w w:val="100"/>
      <w:szCs w:val="21"/>
      <w:u w:val="single"/>
    </w:rPr>
  </w:style>
  <w:style w:type="character" w:styleId="48">
    <w:name w:val="HTML Code"/>
    <w:qFormat/>
    <w:uiPriority w:val="0"/>
    <w:rPr>
      <w:rFonts w:ascii="Courier New" w:hAnsi="Courier New"/>
      <w:sz w:val="20"/>
      <w:szCs w:val="20"/>
    </w:rPr>
  </w:style>
  <w:style w:type="character" w:styleId="49">
    <w:name w:val="annotation reference"/>
    <w:qFormat/>
    <w:uiPriority w:val="0"/>
    <w:rPr>
      <w:sz w:val="21"/>
      <w:szCs w:val="21"/>
    </w:rPr>
  </w:style>
  <w:style w:type="character" w:styleId="50">
    <w:name w:val="footnote reference"/>
    <w:semiHidden/>
    <w:qFormat/>
    <w:uiPriority w:val="0"/>
    <w:rPr>
      <w:vertAlign w:val="superscript"/>
    </w:rPr>
  </w:style>
  <w:style w:type="character" w:customStyle="1" w:styleId="51">
    <w:name w:val="段 Char"/>
    <w:link w:val="29"/>
    <w:qFormat/>
    <w:uiPriority w:val="0"/>
    <w:rPr>
      <w:rFonts w:ascii="宋体"/>
      <w:sz w:val="21"/>
      <w:lang w:val="en-US" w:eastAsia="zh-CN" w:bidi="ar-SA"/>
    </w:rPr>
  </w:style>
  <w:style w:type="paragraph" w:customStyle="1" w:styleId="52">
    <w:name w:val="一级条标题"/>
    <w:next w:val="29"/>
    <w:link w:val="20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5">
    <w:name w:val="章标题"/>
    <w:next w:val="29"/>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6">
    <w:name w:val="二级条标题"/>
    <w:basedOn w:val="52"/>
    <w:next w:val="29"/>
    <w:qFormat/>
    <w:uiPriority w:val="0"/>
    <w:pPr>
      <w:numPr>
        <w:ilvl w:val="2"/>
      </w:numPr>
      <w:spacing w:before="50" w:after="50"/>
      <w:outlineLvl w:val="3"/>
    </w:pPr>
  </w:style>
  <w:style w:type="paragraph" w:customStyle="1" w:styleId="5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60">
    <w:name w:val="目次、标准名称标题"/>
    <w:basedOn w:val="1"/>
    <w:next w:val="2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1">
    <w:name w:val="三级条标题"/>
    <w:basedOn w:val="56"/>
    <w:next w:val="29"/>
    <w:qFormat/>
    <w:uiPriority w:val="0"/>
    <w:pPr>
      <w:numPr>
        <w:ilvl w:val="3"/>
      </w:numPr>
      <w:outlineLvl w:val="4"/>
    </w:pPr>
  </w:style>
  <w:style w:type="paragraph" w:customStyle="1" w:styleId="62">
    <w:name w:val="示例"/>
    <w:next w:val="63"/>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6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4">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65">
    <w:name w:val="四级条标题"/>
    <w:basedOn w:val="61"/>
    <w:next w:val="29"/>
    <w:qFormat/>
    <w:uiPriority w:val="0"/>
    <w:pPr>
      <w:numPr>
        <w:ilvl w:val="4"/>
      </w:numPr>
      <w:outlineLvl w:val="5"/>
    </w:pPr>
  </w:style>
  <w:style w:type="paragraph" w:customStyle="1" w:styleId="66">
    <w:name w:val="五级条标题"/>
    <w:basedOn w:val="65"/>
    <w:next w:val="29"/>
    <w:qFormat/>
    <w:uiPriority w:val="0"/>
    <w:pPr>
      <w:numPr>
        <w:ilvl w:val="5"/>
      </w:numPr>
      <w:outlineLvl w:val="6"/>
    </w:pPr>
  </w:style>
  <w:style w:type="paragraph" w:customStyle="1" w:styleId="67">
    <w:name w:val="注："/>
    <w:next w:val="29"/>
    <w:qFormat/>
    <w:uiPriority w:val="0"/>
    <w:pPr>
      <w:widowControl w:val="0"/>
      <w:autoSpaceDE w:val="0"/>
      <w:autoSpaceDN w:val="0"/>
      <w:ind w:left="1356" w:hanging="363"/>
      <w:jc w:val="both"/>
    </w:pPr>
    <w:rPr>
      <w:rFonts w:ascii="宋体" w:hAnsi="Times New Roman" w:eastAsia="宋体" w:cs="Times New Roman"/>
      <w:sz w:val="18"/>
      <w:szCs w:val="18"/>
      <w:lang w:val="en-US" w:eastAsia="zh-CN" w:bidi="ar-SA"/>
    </w:rPr>
  </w:style>
  <w:style w:type="paragraph" w:customStyle="1" w:styleId="68">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9">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70">
    <w:name w:val="列项◆（三级）"/>
    <w:basedOn w:val="1"/>
    <w:qFormat/>
    <w:uiPriority w:val="0"/>
    <w:pPr>
      <w:numPr>
        <w:ilvl w:val="2"/>
        <w:numId w:val="3"/>
      </w:numPr>
    </w:pPr>
    <w:rPr>
      <w:rFonts w:ascii="宋体"/>
      <w:szCs w:val="21"/>
    </w:rPr>
  </w:style>
  <w:style w:type="paragraph" w:customStyle="1" w:styleId="71">
    <w:name w:val="编号列项（三级）"/>
    <w:qFormat/>
    <w:uiPriority w:val="0"/>
    <w:pPr>
      <w:numPr>
        <w:ilvl w:val="2"/>
        <w:numId w:val="4"/>
      </w:numPr>
    </w:pPr>
    <w:rPr>
      <w:rFonts w:ascii="宋体" w:hAnsi="Times New Roman" w:eastAsia="宋体" w:cs="Times New Roman"/>
      <w:sz w:val="21"/>
      <w:lang w:val="en-US" w:eastAsia="zh-CN" w:bidi="ar-SA"/>
    </w:rPr>
  </w:style>
  <w:style w:type="paragraph" w:customStyle="1" w:styleId="72">
    <w:name w:val="示例×："/>
    <w:basedOn w:val="55"/>
    <w:qFormat/>
    <w:uiPriority w:val="0"/>
    <w:pPr>
      <w:numPr>
        <w:numId w:val="0"/>
      </w:numPr>
      <w:spacing w:before="0" w:beforeLines="0" w:after="0" w:afterLines="0"/>
      <w:ind w:firstLine="363"/>
      <w:outlineLvl w:val="9"/>
    </w:pPr>
    <w:rPr>
      <w:rFonts w:ascii="宋体" w:eastAsia="宋体"/>
      <w:sz w:val="18"/>
      <w:szCs w:val="18"/>
    </w:rPr>
  </w:style>
  <w:style w:type="paragraph" w:customStyle="1" w:styleId="73">
    <w:name w:val="二级无"/>
    <w:basedOn w:val="56"/>
    <w:qFormat/>
    <w:uiPriority w:val="99"/>
    <w:pPr>
      <w:spacing w:before="0" w:beforeLines="0" w:after="0" w:afterLines="0"/>
      <w:ind w:left="0"/>
    </w:pPr>
    <w:rPr>
      <w:rFonts w:ascii="宋体" w:eastAsia="宋体"/>
    </w:rPr>
  </w:style>
  <w:style w:type="paragraph" w:customStyle="1" w:styleId="74">
    <w:name w:val="注：（正文）"/>
    <w:basedOn w:val="67"/>
    <w:next w:val="29"/>
    <w:qFormat/>
    <w:uiPriority w:val="0"/>
  </w:style>
  <w:style w:type="paragraph" w:customStyle="1" w:styleId="75">
    <w:name w:val="注×：（正文）"/>
    <w:qFormat/>
    <w:uiPriority w:val="0"/>
    <w:pPr>
      <w:numPr>
        <w:ilvl w:val="0"/>
        <w:numId w:val="5"/>
      </w:numPr>
      <w:ind w:left="811"/>
      <w:jc w:val="both"/>
    </w:pPr>
    <w:rPr>
      <w:rFonts w:ascii="宋体" w:hAnsi="Times New Roman" w:eastAsia="宋体" w:cs="Times New Roman"/>
      <w:sz w:val="18"/>
      <w:szCs w:val="18"/>
      <w:lang w:val="en-US" w:eastAsia="zh-CN" w:bidi="ar-SA"/>
    </w:rPr>
  </w:style>
  <w:style w:type="paragraph" w:customStyle="1" w:styleId="7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9">
    <w:name w:val="标准书眉_偶数页"/>
    <w:basedOn w:val="54"/>
    <w:next w:val="1"/>
    <w:qFormat/>
    <w:uiPriority w:val="0"/>
    <w:pPr>
      <w:jc w:val="left"/>
    </w:pPr>
  </w:style>
  <w:style w:type="paragraph" w:customStyle="1" w:styleId="80">
    <w:name w:val="标准书眉一"/>
    <w:qFormat/>
    <w:uiPriority w:val="0"/>
    <w:pPr>
      <w:jc w:val="both"/>
    </w:pPr>
    <w:rPr>
      <w:rFonts w:ascii="Times New Roman" w:hAnsi="Times New Roman" w:eastAsia="宋体" w:cs="Times New Roman"/>
      <w:lang w:val="en-US" w:eastAsia="zh-CN" w:bidi="ar-SA"/>
    </w:rPr>
  </w:style>
  <w:style w:type="paragraph" w:customStyle="1" w:styleId="81">
    <w:name w:val="参考文献"/>
    <w:basedOn w:val="1"/>
    <w:next w:val="29"/>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2">
    <w:name w:val="参考文献、索引标题"/>
    <w:basedOn w:val="1"/>
    <w:next w:val="29"/>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3">
    <w:name w:val="发布"/>
    <w:qFormat/>
    <w:uiPriority w:val="0"/>
    <w:rPr>
      <w:rFonts w:ascii="黑体" w:eastAsia="黑体"/>
      <w:spacing w:val="85"/>
      <w:w w:val="100"/>
      <w:position w:val="3"/>
      <w:sz w:val="28"/>
      <w:szCs w:val="28"/>
    </w:rPr>
  </w:style>
  <w:style w:type="paragraph" w:customStyle="1" w:styleId="84">
    <w:name w:val="发布部门"/>
    <w:next w:val="2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9">
    <w:name w:val="封面标准英文名称"/>
    <w:basedOn w:val="88"/>
    <w:qFormat/>
    <w:uiPriority w:val="0"/>
    <w:pPr>
      <w:framePr w:wrap="around"/>
      <w:spacing w:before="370" w:line="400" w:lineRule="exact"/>
    </w:pPr>
    <w:rPr>
      <w:rFonts w:ascii="Times New Roman"/>
      <w:sz w:val="28"/>
      <w:szCs w:val="28"/>
    </w:rPr>
  </w:style>
  <w:style w:type="paragraph" w:customStyle="1" w:styleId="90">
    <w:name w:val="封面一致性程度标识"/>
    <w:basedOn w:val="89"/>
    <w:qFormat/>
    <w:uiPriority w:val="0"/>
    <w:pPr>
      <w:framePr w:wrap="around"/>
      <w:spacing w:before="440"/>
    </w:pPr>
    <w:rPr>
      <w:rFonts w:ascii="宋体" w:eastAsia="宋体"/>
    </w:rPr>
  </w:style>
  <w:style w:type="paragraph" w:customStyle="1" w:styleId="91">
    <w:name w:val="封面标准文稿类别"/>
    <w:basedOn w:val="90"/>
    <w:qFormat/>
    <w:uiPriority w:val="0"/>
    <w:pPr>
      <w:framePr w:wrap="around"/>
      <w:spacing w:after="160" w:line="240" w:lineRule="auto"/>
    </w:pPr>
    <w:rPr>
      <w:sz w:val="24"/>
    </w:rPr>
  </w:style>
  <w:style w:type="paragraph" w:customStyle="1" w:styleId="92">
    <w:name w:val="封面标准文稿编辑信息"/>
    <w:basedOn w:val="91"/>
    <w:qFormat/>
    <w:uiPriority w:val="0"/>
    <w:pPr>
      <w:framePr w:wrap="around"/>
      <w:spacing w:before="180" w:line="180" w:lineRule="exact"/>
    </w:pPr>
    <w:rPr>
      <w:sz w:val="21"/>
    </w:rPr>
  </w:style>
  <w:style w:type="paragraph" w:customStyle="1" w:styleId="93">
    <w:name w:val="封面正文"/>
    <w:qFormat/>
    <w:uiPriority w:val="0"/>
    <w:pPr>
      <w:jc w:val="both"/>
    </w:pPr>
    <w:rPr>
      <w:rFonts w:ascii="Times New Roman" w:hAnsi="Times New Roman" w:eastAsia="宋体" w:cs="Times New Roman"/>
      <w:lang w:val="en-US" w:eastAsia="zh-CN" w:bidi="ar-SA"/>
    </w:rPr>
  </w:style>
  <w:style w:type="paragraph" w:customStyle="1" w:styleId="94">
    <w:name w:val="附录标识"/>
    <w:basedOn w:val="1"/>
    <w:next w:val="29"/>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5">
    <w:name w:val="附录标题"/>
    <w:basedOn w:val="29"/>
    <w:next w:val="29"/>
    <w:qFormat/>
    <w:uiPriority w:val="0"/>
    <w:pPr>
      <w:ind w:firstLine="0" w:firstLineChars="0"/>
      <w:jc w:val="center"/>
    </w:pPr>
    <w:rPr>
      <w:rFonts w:ascii="黑体" w:eastAsia="黑体"/>
    </w:rPr>
  </w:style>
  <w:style w:type="paragraph" w:customStyle="1" w:styleId="96">
    <w:name w:val="附录表标号"/>
    <w:basedOn w:val="1"/>
    <w:next w:val="29"/>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97">
    <w:name w:val="附录表标题"/>
    <w:basedOn w:val="1"/>
    <w:next w:val="29"/>
    <w:qFormat/>
    <w:uiPriority w:val="0"/>
    <w:pPr>
      <w:numPr>
        <w:ilvl w:val="1"/>
        <w:numId w:val="7"/>
      </w:numPr>
      <w:tabs>
        <w:tab w:val="left" w:pos="180"/>
      </w:tabs>
      <w:spacing w:before="50" w:beforeLines="50" w:after="50" w:afterLines="50"/>
      <w:ind w:left="0" w:firstLine="0"/>
      <w:jc w:val="center"/>
    </w:pPr>
    <w:rPr>
      <w:rFonts w:ascii="黑体" w:eastAsia="黑体"/>
      <w:szCs w:val="21"/>
    </w:rPr>
  </w:style>
  <w:style w:type="paragraph" w:customStyle="1" w:styleId="98">
    <w:name w:val="附录二级条标题"/>
    <w:basedOn w:val="1"/>
    <w:next w:val="29"/>
    <w:qFormat/>
    <w:uiPriority w:val="0"/>
    <w:pPr>
      <w:widowControl/>
      <w:numPr>
        <w:ilvl w:val="3"/>
        <w:numId w:val="6"/>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9">
    <w:name w:val="附录二级无"/>
    <w:basedOn w:val="98"/>
    <w:qFormat/>
    <w:uiPriority w:val="0"/>
    <w:pPr>
      <w:tabs>
        <w:tab w:val="clear" w:pos="360"/>
      </w:tabs>
      <w:spacing w:before="0" w:beforeLines="0" w:after="0" w:afterLines="0"/>
    </w:pPr>
    <w:rPr>
      <w:rFonts w:ascii="宋体" w:eastAsia="宋体"/>
      <w:szCs w:val="21"/>
    </w:rPr>
  </w:style>
  <w:style w:type="paragraph" w:customStyle="1" w:styleId="100">
    <w:name w:val="附录公式"/>
    <w:basedOn w:val="29"/>
    <w:next w:val="29"/>
    <w:link w:val="101"/>
    <w:qFormat/>
    <w:uiPriority w:val="0"/>
  </w:style>
  <w:style w:type="character" w:customStyle="1" w:styleId="101">
    <w:name w:val="附录公式 Char"/>
    <w:basedOn w:val="51"/>
    <w:link w:val="100"/>
    <w:qFormat/>
    <w:uiPriority w:val="0"/>
    <w:rPr>
      <w:rFonts w:ascii="宋体"/>
      <w:sz w:val="21"/>
      <w:lang w:val="en-US" w:eastAsia="zh-CN" w:bidi="ar-SA"/>
    </w:rPr>
  </w:style>
  <w:style w:type="paragraph" w:customStyle="1" w:styleId="102">
    <w:name w:val="附录公式编号制表符"/>
    <w:basedOn w:val="1"/>
    <w:next w:val="29"/>
    <w:qFormat/>
    <w:uiPriority w:val="0"/>
    <w:pPr>
      <w:widowControl/>
      <w:tabs>
        <w:tab w:val="center" w:pos="4201"/>
        <w:tab w:val="right" w:leader="dot" w:pos="9298"/>
      </w:tabs>
      <w:autoSpaceDE w:val="0"/>
      <w:autoSpaceDN w:val="0"/>
    </w:pPr>
    <w:rPr>
      <w:rFonts w:ascii="宋体"/>
      <w:kern w:val="0"/>
      <w:szCs w:val="20"/>
    </w:rPr>
  </w:style>
  <w:style w:type="paragraph" w:customStyle="1" w:styleId="103">
    <w:name w:val="附录三级条标题"/>
    <w:basedOn w:val="98"/>
    <w:next w:val="29"/>
    <w:qFormat/>
    <w:uiPriority w:val="0"/>
    <w:pPr>
      <w:numPr>
        <w:ilvl w:val="4"/>
      </w:numPr>
      <w:outlineLvl w:val="4"/>
    </w:pPr>
  </w:style>
  <w:style w:type="paragraph" w:customStyle="1" w:styleId="104">
    <w:name w:val="附录三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数字编号列项（二级）"/>
    <w:qFormat/>
    <w:uiPriority w:val="0"/>
    <w:pPr>
      <w:numPr>
        <w:ilvl w:val="1"/>
        <w:numId w:val="8"/>
      </w:numPr>
    </w:pPr>
    <w:rPr>
      <w:rFonts w:ascii="宋体" w:hAnsi="Times New Roman" w:eastAsia="宋体" w:cs="Times New Roman"/>
      <w:sz w:val="21"/>
      <w:lang w:val="en-US" w:eastAsia="zh-CN" w:bidi="ar-SA"/>
    </w:rPr>
  </w:style>
  <w:style w:type="paragraph" w:customStyle="1" w:styleId="106">
    <w:name w:val="附录四级条标题"/>
    <w:basedOn w:val="103"/>
    <w:next w:val="29"/>
    <w:qFormat/>
    <w:uiPriority w:val="0"/>
    <w:pPr>
      <w:numPr>
        <w:ilvl w:val="5"/>
      </w:numPr>
      <w:outlineLvl w:val="5"/>
    </w:pPr>
  </w:style>
  <w:style w:type="paragraph" w:customStyle="1" w:styleId="107">
    <w:name w:val="附录四级无"/>
    <w:basedOn w:val="106"/>
    <w:qFormat/>
    <w:uiPriority w:val="0"/>
    <w:pPr>
      <w:tabs>
        <w:tab w:val="clear" w:pos="360"/>
      </w:tabs>
      <w:spacing w:before="0" w:beforeLines="0" w:after="0" w:afterLines="0"/>
    </w:pPr>
    <w:rPr>
      <w:rFonts w:ascii="宋体" w:eastAsia="宋体"/>
      <w:szCs w:val="21"/>
    </w:rPr>
  </w:style>
  <w:style w:type="paragraph" w:customStyle="1" w:styleId="108">
    <w:name w:val="附录图标号"/>
    <w:basedOn w:val="1"/>
    <w:qFormat/>
    <w:uiPriority w:val="0"/>
    <w:pPr>
      <w:keepNext/>
      <w:pageBreakBefore/>
      <w:widowControl/>
      <w:numPr>
        <w:ilvl w:val="0"/>
        <w:numId w:val="9"/>
      </w:numPr>
      <w:spacing w:line="14" w:lineRule="exact"/>
      <w:ind w:left="0" w:firstLine="363"/>
      <w:jc w:val="center"/>
      <w:outlineLvl w:val="0"/>
    </w:pPr>
    <w:rPr>
      <w:color w:val="FFFFFF"/>
    </w:rPr>
  </w:style>
  <w:style w:type="paragraph" w:customStyle="1" w:styleId="109">
    <w:name w:val="附录图标题"/>
    <w:basedOn w:val="1"/>
    <w:next w:val="29"/>
    <w:qFormat/>
    <w:uiPriority w:val="0"/>
    <w:pPr>
      <w:numPr>
        <w:ilvl w:val="1"/>
        <w:numId w:val="9"/>
      </w:numPr>
      <w:tabs>
        <w:tab w:val="left" w:pos="363"/>
      </w:tabs>
      <w:spacing w:before="50" w:beforeLines="50" w:after="50" w:afterLines="50"/>
      <w:ind w:left="0" w:firstLine="0"/>
      <w:jc w:val="center"/>
    </w:pPr>
    <w:rPr>
      <w:rFonts w:ascii="黑体" w:eastAsia="黑体"/>
      <w:szCs w:val="21"/>
    </w:rPr>
  </w:style>
  <w:style w:type="paragraph" w:customStyle="1" w:styleId="110">
    <w:name w:val="附录五级条标题"/>
    <w:basedOn w:val="106"/>
    <w:next w:val="29"/>
    <w:qFormat/>
    <w:uiPriority w:val="0"/>
    <w:pPr>
      <w:numPr>
        <w:ilvl w:val="6"/>
      </w:numPr>
      <w:outlineLvl w:val="6"/>
    </w:pPr>
  </w:style>
  <w:style w:type="paragraph" w:customStyle="1" w:styleId="111">
    <w:name w:val="附录五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章标题"/>
    <w:next w:val="29"/>
    <w:qFormat/>
    <w:uiPriority w:val="0"/>
    <w:pPr>
      <w:numPr>
        <w:ilvl w:val="1"/>
        <w:numId w:val="6"/>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3">
    <w:name w:val="附录一级条标题"/>
    <w:basedOn w:val="112"/>
    <w:next w:val="29"/>
    <w:qFormat/>
    <w:uiPriority w:val="0"/>
    <w:pPr>
      <w:numPr>
        <w:ilvl w:val="2"/>
      </w:numPr>
      <w:autoSpaceDN w:val="0"/>
      <w:spacing w:before="50" w:beforeLines="50" w:after="50" w:afterLines="50"/>
      <w:outlineLvl w:val="2"/>
    </w:pPr>
  </w:style>
  <w:style w:type="paragraph" w:customStyle="1" w:styleId="114">
    <w:name w:val="附录一级无"/>
    <w:basedOn w:val="113"/>
    <w:qFormat/>
    <w:uiPriority w:val="0"/>
    <w:pPr>
      <w:tabs>
        <w:tab w:val="clear" w:pos="360"/>
      </w:tabs>
      <w:spacing w:before="0" w:beforeLines="0" w:after="0" w:afterLines="0"/>
    </w:pPr>
    <w:rPr>
      <w:rFonts w:ascii="宋体" w:eastAsia="宋体"/>
      <w:szCs w:val="21"/>
    </w:rPr>
  </w:style>
  <w:style w:type="paragraph" w:customStyle="1" w:styleId="115">
    <w:name w:val="附录字母编号列项（一级）"/>
    <w:qFormat/>
    <w:uiPriority w:val="0"/>
    <w:pPr>
      <w:numPr>
        <w:ilvl w:val="0"/>
        <w:numId w:val="8"/>
      </w:numPr>
    </w:pPr>
    <w:rPr>
      <w:rFonts w:ascii="宋体" w:hAnsi="Times New Roman" w:eastAsia="宋体" w:cs="Times New Roman"/>
      <w:sz w:val="21"/>
      <w:lang w:val="en-US" w:eastAsia="zh-CN" w:bidi="ar-SA"/>
    </w:rPr>
  </w:style>
  <w:style w:type="paragraph" w:customStyle="1" w:styleId="11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9">
    <w:name w:val="其他标准标志"/>
    <w:basedOn w:val="76"/>
    <w:qFormat/>
    <w:uiPriority w:val="0"/>
    <w:pPr>
      <w:framePr w:w="6101" w:wrap="around" w:vAnchor="page" w:hAnchor="page" w:x="4673" w:y="942"/>
    </w:pPr>
    <w:rPr>
      <w:w w:val="130"/>
    </w:rPr>
  </w:style>
  <w:style w:type="paragraph" w:customStyle="1" w:styleId="12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1">
    <w:name w:val="其他发布部门"/>
    <w:basedOn w:val="84"/>
    <w:qFormat/>
    <w:uiPriority w:val="0"/>
    <w:pPr>
      <w:framePr w:wrap="around" w:y="15310"/>
      <w:spacing w:line="0" w:lineRule="atLeast"/>
    </w:pPr>
    <w:rPr>
      <w:rFonts w:ascii="黑体" w:eastAsia="黑体"/>
      <w:b w:val="0"/>
    </w:rPr>
  </w:style>
  <w:style w:type="paragraph" w:customStyle="1" w:styleId="122">
    <w:name w:val="前言、引言标题"/>
    <w:next w:val="29"/>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3">
    <w:name w:val="三级无"/>
    <w:basedOn w:val="61"/>
    <w:qFormat/>
    <w:uiPriority w:val="0"/>
    <w:pPr>
      <w:spacing w:before="0" w:beforeLines="0" w:after="0" w:afterLines="0"/>
    </w:pPr>
    <w:rPr>
      <w:rFonts w:ascii="宋体" w:eastAsia="宋体"/>
    </w:rPr>
  </w:style>
  <w:style w:type="paragraph" w:customStyle="1" w:styleId="124">
    <w:name w:val="实施日期"/>
    <w:basedOn w:val="85"/>
    <w:qFormat/>
    <w:uiPriority w:val="0"/>
    <w:pPr>
      <w:framePr w:wrap="around" w:vAnchor="page" w:hAnchor="text"/>
      <w:jc w:val="right"/>
    </w:pPr>
  </w:style>
  <w:style w:type="paragraph" w:customStyle="1" w:styleId="125">
    <w:name w:val="示例后文字"/>
    <w:basedOn w:val="29"/>
    <w:next w:val="29"/>
    <w:qFormat/>
    <w:uiPriority w:val="0"/>
    <w:pPr>
      <w:ind w:firstLine="360"/>
    </w:pPr>
    <w:rPr>
      <w:sz w:val="18"/>
    </w:rPr>
  </w:style>
  <w:style w:type="paragraph" w:customStyle="1" w:styleId="126">
    <w:name w:val="首示例"/>
    <w:next w:val="29"/>
    <w:link w:val="127"/>
    <w:qFormat/>
    <w:uiPriority w:val="0"/>
    <w:pPr>
      <w:tabs>
        <w:tab w:val="left" w:pos="360"/>
      </w:tabs>
    </w:pPr>
    <w:rPr>
      <w:rFonts w:ascii="宋体" w:hAnsi="宋体" w:eastAsia="宋体" w:cs="Times New Roman"/>
      <w:kern w:val="2"/>
      <w:sz w:val="18"/>
      <w:szCs w:val="18"/>
      <w:lang w:val="en-US" w:eastAsia="zh-CN" w:bidi="ar-SA"/>
    </w:rPr>
  </w:style>
  <w:style w:type="character" w:customStyle="1" w:styleId="127">
    <w:name w:val="首示例 Char"/>
    <w:link w:val="126"/>
    <w:qFormat/>
    <w:uiPriority w:val="0"/>
    <w:rPr>
      <w:rFonts w:ascii="宋体" w:hAnsi="宋体"/>
      <w:kern w:val="2"/>
      <w:sz w:val="18"/>
      <w:szCs w:val="18"/>
    </w:rPr>
  </w:style>
  <w:style w:type="paragraph" w:customStyle="1" w:styleId="128">
    <w:name w:val="四级无"/>
    <w:basedOn w:val="65"/>
    <w:qFormat/>
    <w:uiPriority w:val="0"/>
    <w:pPr>
      <w:spacing w:before="0" w:beforeLines="0" w:after="0" w:afterLines="0"/>
    </w:pPr>
    <w:rPr>
      <w:rFonts w:ascii="宋体" w:eastAsia="宋体"/>
    </w:rPr>
  </w:style>
  <w:style w:type="paragraph" w:customStyle="1" w:styleId="129">
    <w:name w:val="条文脚注"/>
    <w:basedOn w:val="30"/>
    <w:qFormat/>
    <w:uiPriority w:val="0"/>
    <w:pPr>
      <w:numPr>
        <w:numId w:val="0"/>
      </w:numPr>
      <w:jc w:val="both"/>
    </w:pPr>
  </w:style>
  <w:style w:type="paragraph" w:customStyle="1" w:styleId="130">
    <w:name w:val="图标脚注说明"/>
    <w:basedOn w:val="29"/>
    <w:qFormat/>
    <w:uiPriority w:val="0"/>
    <w:pPr>
      <w:ind w:left="840" w:hanging="420" w:firstLineChars="0"/>
    </w:pPr>
    <w:rPr>
      <w:sz w:val="18"/>
      <w:szCs w:val="18"/>
    </w:rPr>
  </w:style>
  <w:style w:type="paragraph" w:customStyle="1" w:styleId="131">
    <w:name w:val="图表脚注说明"/>
    <w:basedOn w:val="1"/>
    <w:qFormat/>
    <w:uiPriority w:val="0"/>
    <w:pPr>
      <w:ind w:left="544" w:hanging="181"/>
    </w:pPr>
    <w:rPr>
      <w:rFonts w:ascii="宋体"/>
      <w:sz w:val="18"/>
      <w:szCs w:val="18"/>
    </w:rPr>
  </w:style>
  <w:style w:type="paragraph" w:customStyle="1" w:styleId="132">
    <w:name w:val="图的脚注"/>
    <w:next w:val="29"/>
    <w:autoRedefine/>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4">
    <w:name w:val="五级无"/>
    <w:basedOn w:val="66"/>
    <w:qFormat/>
    <w:uiPriority w:val="0"/>
    <w:pPr>
      <w:spacing w:before="0" w:beforeLines="0" w:after="0" w:afterLines="0"/>
    </w:pPr>
    <w:rPr>
      <w:rFonts w:ascii="宋体" w:eastAsia="宋体"/>
    </w:rPr>
  </w:style>
  <w:style w:type="paragraph" w:customStyle="1" w:styleId="135">
    <w:name w:val="一级无"/>
    <w:basedOn w:val="52"/>
    <w:qFormat/>
    <w:uiPriority w:val="0"/>
    <w:pPr>
      <w:spacing w:before="0" w:beforeLines="0" w:after="0" w:afterLines="0"/>
    </w:pPr>
    <w:rPr>
      <w:rFonts w:ascii="宋体" w:eastAsia="宋体"/>
    </w:rPr>
  </w:style>
  <w:style w:type="paragraph" w:customStyle="1" w:styleId="136">
    <w:name w:val="正文表标题"/>
    <w:next w:val="29"/>
    <w:qFormat/>
    <w:uiPriority w:val="0"/>
    <w:pPr>
      <w:numPr>
        <w:ilvl w:val="0"/>
        <w:numId w:val="10"/>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7">
    <w:name w:val="正文公式编号制表符"/>
    <w:basedOn w:val="29"/>
    <w:next w:val="29"/>
    <w:qFormat/>
    <w:uiPriority w:val="0"/>
    <w:pPr>
      <w:ind w:firstLine="0" w:firstLineChars="0"/>
    </w:pPr>
  </w:style>
  <w:style w:type="paragraph" w:customStyle="1" w:styleId="138">
    <w:name w:val="正文图标题"/>
    <w:next w:val="29"/>
    <w:qFormat/>
    <w:uiPriority w:val="99"/>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9">
    <w:name w:val="终结线"/>
    <w:basedOn w:val="1"/>
    <w:qFormat/>
    <w:uiPriority w:val="0"/>
    <w:pPr>
      <w:framePr w:hSpace="181" w:vSpace="181" w:wrap="around" w:vAnchor="text" w:hAnchor="margin" w:xAlign="center" w:y="285"/>
    </w:pPr>
  </w:style>
  <w:style w:type="paragraph" w:customStyle="1" w:styleId="140">
    <w:name w:val="其他发布日期"/>
    <w:basedOn w:val="85"/>
    <w:qFormat/>
    <w:uiPriority w:val="0"/>
    <w:pPr>
      <w:framePr w:wrap="around" w:vAnchor="page" w:hAnchor="text" w:x="1419"/>
    </w:pPr>
  </w:style>
  <w:style w:type="paragraph" w:customStyle="1" w:styleId="141">
    <w:name w:val="其他实施日期"/>
    <w:basedOn w:val="124"/>
    <w:qFormat/>
    <w:uiPriority w:val="0"/>
    <w:pPr>
      <w:framePr w:wrap="around"/>
    </w:pPr>
  </w:style>
  <w:style w:type="paragraph" w:customStyle="1" w:styleId="142">
    <w:name w:val="封面标准名称2"/>
    <w:basedOn w:val="88"/>
    <w:qFormat/>
    <w:uiPriority w:val="0"/>
    <w:pPr>
      <w:framePr w:wrap="around" w:y="4469"/>
      <w:spacing w:before="630" w:beforeLines="630"/>
    </w:pPr>
  </w:style>
  <w:style w:type="paragraph" w:customStyle="1" w:styleId="143">
    <w:name w:val="封面标准英文名称2"/>
    <w:basedOn w:val="89"/>
    <w:qFormat/>
    <w:uiPriority w:val="0"/>
    <w:pPr>
      <w:framePr w:wrap="around" w:y="4469"/>
    </w:pPr>
  </w:style>
  <w:style w:type="paragraph" w:customStyle="1" w:styleId="144">
    <w:name w:val="封面一致性程度标识2"/>
    <w:basedOn w:val="90"/>
    <w:qFormat/>
    <w:uiPriority w:val="0"/>
    <w:pPr>
      <w:framePr w:wrap="around" w:y="4469"/>
    </w:pPr>
  </w:style>
  <w:style w:type="paragraph" w:customStyle="1" w:styleId="145">
    <w:name w:val="封面标准文稿类别2"/>
    <w:basedOn w:val="91"/>
    <w:qFormat/>
    <w:uiPriority w:val="0"/>
    <w:pPr>
      <w:framePr w:wrap="around" w:y="4469"/>
    </w:pPr>
  </w:style>
  <w:style w:type="paragraph" w:customStyle="1" w:styleId="146">
    <w:name w:val="封面标准文稿编辑信息2"/>
    <w:basedOn w:val="92"/>
    <w:qFormat/>
    <w:uiPriority w:val="0"/>
    <w:pPr>
      <w:framePr w:wrap="around" w:y="4469"/>
    </w:pPr>
  </w:style>
  <w:style w:type="character" w:customStyle="1" w:styleId="147">
    <w:name w:val="批注框文本 字符"/>
    <w:link w:val="22"/>
    <w:qFormat/>
    <w:uiPriority w:val="0"/>
    <w:rPr>
      <w:kern w:val="2"/>
      <w:sz w:val="18"/>
      <w:szCs w:val="18"/>
    </w:rPr>
  </w:style>
  <w:style w:type="character" w:customStyle="1" w:styleId="148">
    <w:name w:val="批注文字 字符"/>
    <w:link w:val="11"/>
    <w:qFormat/>
    <w:uiPriority w:val="0"/>
    <w:rPr>
      <w:kern w:val="2"/>
      <w:sz w:val="21"/>
      <w:szCs w:val="24"/>
    </w:rPr>
  </w:style>
  <w:style w:type="character" w:customStyle="1" w:styleId="149">
    <w:name w:val="批注主题 字符"/>
    <w:link w:val="39"/>
    <w:qFormat/>
    <w:uiPriority w:val="0"/>
    <w:rPr>
      <w:b/>
      <w:bCs/>
      <w:kern w:val="2"/>
      <w:sz w:val="21"/>
      <w:szCs w:val="24"/>
    </w:rPr>
  </w:style>
  <w:style w:type="character" w:customStyle="1" w:styleId="150">
    <w:name w:val="日期 字符"/>
    <w:link w:val="19"/>
    <w:qFormat/>
    <w:uiPriority w:val="0"/>
    <w:rPr>
      <w:kern w:val="2"/>
      <w:sz w:val="21"/>
      <w:szCs w:val="24"/>
    </w:rPr>
  </w:style>
  <w:style w:type="paragraph" w:customStyle="1" w:styleId="15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7"/>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53">
    <w:name w:val="font8"/>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54">
    <w:name w:val="font10"/>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55">
    <w:name w:val="font32"/>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5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8">
    <w:name w:val="xl1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0">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
    <w:name w:val="xl10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2">
    <w:name w:val="xl106"/>
    <w:basedOn w:val="1"/>
    <w:qFormat/>
    <w:uiPriority w:val="0"/>
    <w:pPr>
      <w:widowControl/>
      <w:pBdr>
        <w:top w:val="single" w:color="auto" w:sz="4" w:space="0"/>
      </w:pBdr>
      <w:spacing w:before="100" w:beforeAutospacing="1" w:after="100" w:afterAutospacing="1"/>
      <w:jc w:val="center"/>
    </w:pPr>
    <w:rPr>
      <w:rFonts w:ascii="宋体" w:hAnsi="宋体" w:cs="宋体"/>
      <w:kern w:val="0"/>
      <w:sz w:val="18"/>
      <w:szCs w:val="18"/>
    </w:rPr>
  </w:style>
  <w:style w:type="paragraph" w:customStyle="1" w:styleId="163">
    <w:name w:val="xl10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5">
    <w:name w:val="xl11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6">
    <w:name w:val="xl11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7">
    <w:name w:val="xl1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168">
    <w:name w:val="font71"/>
    <w:qFormat/>
    <w:uiPriority w:val="0"/>
    <w:rPr>
      <w:rFonts w:hint="eastAsia" w:ascii="宋体" w:hAnsi="宋体" w:eastAsia="宋体"/>
      <w:color w:val="000000"/>
      <w:sz w:val="18"/>
      <w:szCs w:val="18"/>
      <w:u w:val="none"/>
    </w:rPr>
  </w:style>
  <w:style w:type="character" w:customStyle="1" w:styleId="169">
    <w:name w:val="font81"/>
    <w:qFormat/>
    <w:uiPriority w:val="0"/>
    <w:rPr>
      <w:rFonts w:hint="eastAsia" w:ascii="宋体" w:hAnsi="宋体" w:eastAsia="宋体"/>
      <w:color w:val="000000"/>
      <w:sz w:val="18"/>
      <w:szCs w:val="18"/>
      <w:u w:val="none"/>
    </w:rPr>
  </w:style>
  <w:style w:type="character" w:customStyle="1" w:styleId="170">
    <w:name w:val="font101"/>
    <w:qFormat/>
    <w:uiPriority w:val="0"/>
    <w:rPr>
      <w:rFonts w:hint="eastAsia" w:ascii="宋体" w:hAnsi="宋体" w:eastAsia="宋体"/>
      <w:color w:val="000000"/>
      <w:sz w:val="18"/>
      <w:szCs w:val="18"/>
      <w:u w:val="none"/>
    </w:rPr>
  </w:style>
  <w:style w:type="character" w:customStyle="1" w:styleId="171">
    <w:name w:val="font321"/>
    <w:qFormat/>
    <w:uiPriority w:val="0"/>
    <w:rPr>
      <w:rFonts w:hint="eastAsia" w:ascii="宋体" w:hAnsi="宋体" w:eastAsia="宋体"/>
      <w:color w:val="000000"/>
      <w:sz w:val="18"/>
      <w:szCs w:val="18"/>
      <w:u w:val="none"/>
    </w:rPr>
  </w:style>
  <w:style w:type="character" w:customStyle="1" w:styleId="172">
    <w:name w:val="font91"/>
    <w:qFormat/>
    <w:uiPriority w:val="0"/>
    <w:rPr>
      <w:rFonts w:hint="eastAsia" w:ascii="宋体" w:hAnsi="宋体" w:eastAsia="宋体"/>
      <w:color w:val="000000"/>
      <w:sz w:val="18"/>
      <w:szCs w:val="18"/>
      <w:u w:val="none"/>
    </w:rPr>
  </w:style>
  <w:style w:type="character" w:customStyle="1" w:styleId="173">
    <w:name w:val="font311"/>
    <w:qFormat/>
    <w:uiPriority w:val="0"/>
    <w:rPr>
      <w:rFonts w:hint="eastAsia" w:ascii="宋体" w:hAnsi="宋体" w:eastAsia="宋体"/>
      <w:color w:val="000000"/>
      <w:sz w:val="18"/>
      <w:szCs w:val="18"/>
      <w:u w:val="none"/>
    </w:rPr>
  </w:style>
  <w:style w:type="paragraph" w:customStyle="1" w:styleId="174">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9">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81">
    <w:name w:val="xl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2">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3">
    <w:name w:val="xl11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4">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5">
    <w:name w:val="xl12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6">
    <w:name w:val="xl1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7">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8">
    <w:name w:val="xl12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9">
    <w:name w:val="xl12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styleId="190">
    <w:name w:val="Placeholder Text"/>
    <w:semiHidden/>
    <w:qFormat/>
    <w:uiPriority w:val="99"/>
    <w:rPr>
      <w:color w:val="808080"/>
    </w:rPr>
  </w:style>
  <w:style w:type="character" w:customStyle="1" w:styleId="191">
    <w:name w:val="页脚 字符"/>
    <w:basedOn w:val="42"/>
    <w:link w:val="23"/>
    <w:qFormat/>
    <w:uiPriority w:val="99"/>
    <w:rPr>
      <w:kern w:val="2"/>
      <w:sz w:val="18"/>
      <w:szCs w:val="18"/>
    </w:rPr>
  </w:style>
  <w:style w:type="character" w:customStyle="1" w:styleId="192">
    <w:name w:val="页眉 字符"/>
    <w:basedOn w:val="42"/>
    <w:link w:val="24"/>
    <w:qFormat/>
    <w:uiPriority w:val="0"/>
    <w:rPr>
      <w:kern w:val="2"/>
      <w:sz w:val="18"/>
      <w:szCs w:val="18"/>
    </w:rPr>
  </w:style>
  <w:style w:type="character" w:customStyle="1" w:styleId="193">
    <w:name w:val="标题 1 字符"/>
    <w:basedOn w:val="42"/>
    <w:link w:val="2"/>
    <w:qFormat/>
    <w:uiPriority w:val="0"/>
    <w:rPr>
      <w:b/>
      <w:bCs/>
      <w:kern w:val="44"/>
      <w:sz w:val="44"/>
      <w:szCs w:val="44"/>
    </w:rPr>
  </w:style>
  <w:style w:type="character" w:customStyle="1" w:styleId="194">
    <w:name w:val="标题 2 字符"/>
    <w:basedOn w:val="42"/>
    <w:link w:val="3"/>
    <w:semiHidden/>
    <w:qFormat/>
    <w:uiPriority w:val="0"/>
    <w:rPr>
      <w:rFonts w:asciiTheme="majorHAnsi" w:hAnsiTheme="majorHAnsi" w:eastAsiaTheme="majorEastAsia" w:cstheme="majorBidi"/>
      <w:b/>
      <w:bCs/>
      <w:kern w:val="2"/>
      <w:sz w:val="32"/>
      <w:szCs w:val="32"/>
    </w:rPr>
  </w:style>
  <w:style w:type="character" w:customStyle="1" w:styleId="195">
    <w:name w:val="标题 3 字符"/>
    <w:basedOn w:val="42"/>
    <w:link w:val="4"/>
    <w:semiHidden/>
    <w:qFormat/>
    <w:uiPriority w:val="0"/>
    <w:rPr>
      <w:b/>
      <w:bCs/>
      <w:kern w:val="2"/>
      <w:sz w:val="32"/>
      <w:szCs w:val="32"/>
    </w:rPr>
  </w:style>
  <w:style w:type="character" w:customStyle="1" w:styleId="196">
    <w:name w:val="访问过的超链接1"/>
    <w:qFormat/>
    <w:uiPriority w:val="0"/>
    <w:rPr>
      <w:color w:val="800080"/>
      <w:u w:val="single"/>
    </w:rPr>
  </w:style>
  <w:style w:type="paragraph" w:customStyle="1" w:styleId="197">
    <w:name w:val="列出段落1"/>
    <w:basedOn w:val="1"/>
    <w:qFormat/>
    <w:uiPriority w:val="0"/>
    <w:pPr>
      <w:ind w:firstLine="420" w:firstLineChars="200"/>
    </w:pPr>
    <w:rPr>
      <w:rFonts w:ascii="Calibri" w:hAnsi="Calibri" w:cs="Calibri"/>
      <w:szCs w:val="21"/>
    </w:rPr>
  </w:style>
  <w:style w:type="paragraph" w:customStyle="1" w:styleId="198">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styleId="199">
    <w:name w:val="List Paragraph"/>
    <w:basedOn w:val="1"/>
    <w:qFormat/>
    <w:uiPriority w:val="34"/>
    <w:pPr>
      <w:ind w:firstLine="420" w:firstLineChars="200"/>
    </w:pPr>
  </w:style>
  <w:style w:type="character" w:customStyle="1" w:styleId="200">
    <w:name w:val="正文文本 3 字符"/>
    <w:basedOn w:val="42"/>
    <w:link w:val="13"/>
    <w:qFormat/>
    <w:uiPriority w:val="0"/>
    <w:rPr>
      <w:rFonts w:ascii="Arial" w:hAnsi="Arial" w:cs="Arial"/>
      <w:sz w:val="18"/>
      <w:szCs w:val="18"/>
    </w:rPr>
  </w:style>
  <w:style w:type="character" w:customStyle="1" w:styleId="201">
    <w:name w:val="tw4winMark"/>
    <w:qFormat/>
    <w:uiPriority w:val="0"/>
    <w:rPr>
      <w:rFonts w:ascii="Courier New" w:hAnsi="Courier New" w:cs="Courier New"/>
      <w:vanish/>
      <w:color w:val="800080"/>
      <w:vertAlign w:val="subscript"/>
    </w:rPr>
  </w:style>
  <w:style w:type="paragraph" w:customStyle="1" w:styleId="20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03">
    <w:name w:val="正文文本缩进 2 字符"/>
    <w:basedOn w:val="42"/>
    <w:link w:val="20"/>
    <w:qFormat/>
    <w:uiPriority w:val="0"/>
    <w:rPr>
      <w:kern w:val="2"/>
      <w:sz w:val="21"/>
      <w:szCs w:val="24"/>
    </w:rPr>
  </w:style>
  <w:style w:type="character" w:customStyle="1" w:styleId="204">
    <w:name w:val="一级条标题 Char"/>
    <w:link w:val="52"/>
    <w:qFormat/>
    <w:locked/>
    <w:uiPriority w:val="0"/>
    <w:rPr>
      <w:rFonts w:ascii="黑体" w:eastAsia="黑体"/>
      <w:sz w:val="21"/>
      <w:szCs w:val="21"/>
    </w:rPr>
  </w:style>
  <w:style w:type="paragraph" w:styleId="20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206">
    <w:name w:val="标题 字符"/>
    <w:basedOn w:val="42"/>
    <w:link w:val="38"/>
    <w:qFormat/>
    <w:uiPriority w:val="0"/>
    <w:rPr>
      <w:rFonts w:ascii="Cambria" w:hAnsi="Cambria" w:eastAsia="黑体"/>
      <w:bCs/>
      <w:kern w:val="2"/>
      <w:sz w:val="21"/>
      <w:szCs w:val="32"/>
    </w:rPr>
  </w:style>
  <w:style w:type="character" w:customStyle="1" w:styleId="207">
    <w:name w:val="ref_content_circle"/>
    <w:basedOn w:val="42"/>
    <w:qFormat/>
    <w:uiPriority w:val="0"/>
  </w:style>
  <w:style w:type="character" w:customStyle="1" w:styleId="208">
    <w:name w:val="标题 4 字符"/>
    <w:basedOn w:val="42"/>
    <w:link w:val="5"/>
    <w:semiHidden/>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1327;&#20250;&#26631;&#20934;&#25991;&#20214;\&#21327;&#20250;&#26631;&#20934;&#21457;&#24067;&#29256;&#26412;\0060&#29301;&#24341;&#29992;&#38085;&#37240;&#33988;&#30005;&#27744;&#30005;&#28304;&#35013;&#32622;&#31665;&#20307;\0060&#29301;&#24341;&#29992;&#38085;&#37240;&#33988;&#30005;&#27744;&#30005;&#28304;&#35013;&#32622;&#31665;&#2030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F35DB9-0ABC-434C-B0B6-868C1A39381C}">
  <ds:schemaRefs/>
</ds:datastoreItem>
</file>

<file path=docProps/app.xml><?xml version="1.0" encoding="utf-8"?>
<Properties xmlns="http://schemas.openxmlformats.org/officeDocument/2006/extended-properties" xmlns:vt="http://schemas.openxmlformats.org/officeDocument/2006/docPropsVTypes">
  <Template>0060牵引用铅酸蓄电池电源装置箱体</Template>
  <Pages>10</Pages>
  <Words>3001</Words>
  <Characters>3518</Characters>
  <Lines>28</Lines>
  <Paragraphs>8</Paragraphs>
  <TotalTime>2</TotalTime>
  <ScaleCrop>false</ScaleCrop>
  <LinksUpToDate>false</LinksUpToDate>
  <CharactersWithSpaces>3636</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2026-04-29T02:15:00Z</dcterms:created>
  <dcterms:modified xsi:type="dcterms:W3CDTF">2026-05-07T02:51:15Z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A73329EF0F204267BC1F4776C6EA4BC2_13</vt:lpwstr>
  </property>
  <property fmtid="{D5CDD505-2E9C-101B-9397-08002B2CF9AE}" pid="4" name="KSOTemplateDocerSaveRecord">
    <vt:lpwstr>eyJoZGlkIjoiYzE4MmNmMDNlOTE1MDVkNzkzMGUzZWZlNjMyYTRhYzEiLCJ1c2VySWQiOiIxNjY1NTA1MzQxIn0=</vt:lpwstr>
  </property>
</Properties>
</file>